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874295" w:rsidRP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Provider Pay Data Feed HRA/FSA/DCA Plan</w:t>
      </w:r>
    </w:p>
    <w:p w:rsid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344BDA">
        <w:rPr>
          <w:rFonts w:ascii="Arial" w:hAnsi="Arial" w:cs="Arial"/>
          <w:b/>
        </w:rPr>
        <w:t>201</w:t>
      </w:r>
      <w:r w:rsidR="00701FFF">
        <w:rPr>
          <w:rFonts w:ascii="Arial" w:hAnsi="Arial" w:cs="Arial"/>
          <w:b/>
        </w:rPr>
        <w:t>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344BDA">
        <w:rPr>
          <w:rFonts w:ascii="Arial" w:hAnsi="Arial" w:cs="Arial"/>
          <w:b/>
        </w:rPr>
        <w:t>201</w:t>
      </w:r>
      <w:r w:rsidR="00701FFF">
        <w:rPr>
          <w:rFonts w:ascii="Arial" w:hAnsi="Arial" w:cs="Arial"/>
          <w:b/>
        </w:rPr>
        <w:t>8</w:t>
      </w:r>
      <w:r w:rsidRPr="00874295">
        <w:rPr>
          <w:rFonts w:ascii="Arial" w:hAnsi="Arial" w:cs="Arial"/>
          <w:b/>
        </w:rPr>
        <w:t>-12/31/</w:t>
      </w:r>
      <w:r w:rsidR="00344BDA">
        <w:rPr>
          <w:rFonts w:ascii="Arial" w:hAnsi="Arial" w:cs="Arial"/>
          <w:b/>
        </w:rPr>
        <w:t>201</w:t>
      </w:r>
      <w:r w:rsidR="00701FFF">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w:t>
      </w:r>
      <w:r>
        <w:rPr>
          <w:rFonts w:ascii="Arial" w:hAnsi="Arial" w:cs="Arial"/>
        </w:rPr>
        <w:t xml:space="preserve"> with your group’s HRA funding for Single, Two-Person and Family</w:t>
      </w:r>
    </w:p>
    <w:p w:rsidR="00874295" w:rsidRDefault="00874295" w:rsidP="00874295">
      <w:pPr>
        <w:pStyle w:val="NoSpacing"/>
        <w:numPr>
          <w:ilvl w:val="0"/>
          <w:numId w:val="1"/>
        </w:numPr>
        <w:spacing w:after="120"/>
        <w:rPr>
          <w:rFonts w:ascii="Arial" w:hAnsi="Arial" w:cs="Arial"/>
        </w:rPr>
      </w:pPr>
      <w:r>
        <w:rPr>
          <w:rFonts w:ascii="Arial" w:hAnsi="Arial" w:cs="Arial"/>
        </w:rPr>
        <w:t>Review and edit HRA</w:t>
      </w:r>
      <w:r w:rsidR="00434E0E">
        <w:rPr>
          <w:rFonts w:ascii="Arial" w:hAnsi="Arial" w:cs="Arial"/>
        </w:rPr>
        <w:t xml:space="preserve"> / Carrier</w:t>
      </w:r>
      <w:r>
        <w:rPr>
          <w:rFonts w:ascii="Arial" w:hAnsi="Arial" w:cs="Arial"/>
        </w:rPr>
        <w:t xml:space="preserve"> </w:t>
      </w:r>
      <w:r w:rsidR="00434E0E">
        <w:rPr>
          <w:rFonts w:ascii="Arial" w:hAnsi="Arial" w:cs="Arial"/>
        </w:rPr>
        <w:t xml:space="preserve">deductible </w:t>
      </w:r>
      <w:r>
        <w:rPr>
          <w:rFonts w:ascii="Arial" w:hAnsi="Arial" w:cs="Arial"/>
        </w:rPr>
        <w:t>eligible expenses section</w:t>
      </w:r>
    </w:p>
    <w:p w:rsidR="00874295" w:rsidRDefault="00874295" w:rsidP="00874295">
      <w:pPr>
        <w:pStyle w:val="NoSpacing"/>
        <w:numPr>
          <w:ilvl w:val="0"/>
          <w:numId w:val="1"/>
        </w:numPr>
        <w:spacing w:after="120"/>
        <w:rPr>
          <w:rFonts w:ascii="Arial" w:hAnsi="Arial" w:cs="Arial"/>
        </w:rPr>
      </w:pPr>
      <w:r>
        <w:rPr>
          <w:rFonts w:ascii="Arial" w:hAnsi="Arial" w:cs="Arial"/>
        </w:rPr>
        <w:t>If debit card is not offered for Prescriptions or FSA/DCA, remove all reference to the card</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00344BDA">
        <w:rPr>
          <w:rFonts w:ascii="Arial" w:hAnsi="Arial" w:cs="Arial"/>
          <w:b/>
        </w:rPr>
        <w:t>$2,6</w:t>
      </w:r>
      <w:r w:rsidR="00701FFF">
        <w:rPr>
          <w:rFonts w:ascii="Arial" w:hAnsi="Arial" w:cs="Arial"/>
          <w:b/>
        </w:rPr>
        <w:t>5</w:t>
      </w:r>
      <w:r w:rsidR="00344BDA">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lastRenderedPageBreak/>
        <w:t>Group Name</w:t>
      </w:r>
    </w:p>
    <w:p w:rsidR="00874295" w:rsidRPr="00434E0E" w:rsidRDefault="00874295" w:rsidP="00874295">
      <w:pPr>
        <w:pStyle w:val="NoSpacing"/>
        <w:spacing w:line="276" w:lineRule="auto"/>
        <w:jc w:val="center"/>
        <w:rPr>
          <w:rFonts w:ascii="Arial" w:hAnsi="Arial" w:cs="Arial"/>
          <w:b/>
          <w:color w:val="FF0000"/>
          <w:sz w:val="24"/>
          <w:szCs w:val="24"/>
        </w:rPr>
      </w:pPr>
      <w:r w:rsidRPr="00434E0E">
        <w:rPr>
          <w:rFonts w:ascii="Arial" w:hAnsi="Arial" w:cs="Arial"/>
          <w:b/>
          <w:color w:val="FF0000"/>
          <w:sz w:val="24"/>
          <w:szCs w:val="24"/>
        </w:rPr>
        <w:t>Health Reimbursement Arrangement (HRA) with Provider Pay Data Feed</w:t>
      </w:r>
    </w:p>
    <w:p w:rsidR="00874295" w:rsidRPr="00434E0E" w:rsidRDefault="00874295" w:rsidP="00874295">
      <w:pPr>
        <w:pStyle w:val="NoSpacing"/>
        <w:spacing w:line="276" w:lineRule="auto"/>
        <w:jc w:val="center"/>
        <w:rPr>
          <w:rFonts w:ascii="Arial" w:hAnsi="Arial" w:cs="Arial"/>
          <w:b/>
          <w:color w:val="FF0000"/>
          <w:sz w:val="24"/>
          <w:szCs w:val="24"/>
        </w:rPr>
      </w:pPr>
      <w:r w:rsidRPr="00434E0E">
        <w:rPr>
          <w:rFonts w:ascii="Arial" w:hAnsi="Arial" w:cs="Arial"/>
          <w:b/>
          <w:color w:val="FF0000"/>
          <w:sz w:val="24"/>
          <w:szCs w:val="24"/>
        </w:rPr>
        <w:t>Flexible Spending Account (FSA)</w:t>
      </w:r>
    </w:p>
    <w:p w:rsidR="00874295" w:rsidRPr="00874295" w:rsidRDefault="00874295" w:rsidP="00874295">
      <w:pPr>
        <w:pStyle w:val="NoSpacing"/>
        <w:spacing w:line="276" w:lineRule="auto"/>
        <w:jc w:val="center"/>
        <w:rPr>
          <w:rFonts w:ascii="Arial" w:hAnsi="Arial" w:cs="Arial"/>
          <w:sz w:val="28"/>
          <w:szCs w:val="28"/>
        </w:rPr>
      </w:pPr>
      <w:r w:rsidRPr="00434E0E">
        <w:rPr>
          <w:rFonts w:ascii="Arial" w:hAnsi="Arial" w:cs="Arial"/>
          <w:b/>
          <w:color w:val="FF0000"/>
          <w:sz w:val="24"/>
          <w:szCs w:val="24"/>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6DFFA3B5" wp14:editId="033847E6">
            <wp:extent cx="1840676" cy="12705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 c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506" cy="1271804"/>
                    </a:xfrm>
                    <a:prstGeom prst="rect">
                      <a:avLst/>
                    </a:prstGeom>
                  </pic:spPr>
                </pic:pic>
              </a:graphicData>
            </a:graphic>
          </wp:inline>
        </w:drawing>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701FFF">
        <w:rPr>
          <w:rFonts w:ascii="Arial" w:hAnsi="Arial" w:cs="Arial"/>
          <w:b/>
          <w:sz w:val="24"/>
          <w:szCs w:val="24"/>
        </w:rPr>
        <w:t>2018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344BDA">
        <w:rPr>
          <w:rFonts w:ascii="Arial" w:hAnsi="Arial" w:cs="Arial"/>
          <w:b/>
          <w:sz w:val="24"/>
          <w:szCs w:val="24"/>
        </w:rPr>
        <w:t>201</w:t>
      </w:r>
      <w:r w:rsidR="00701FFF">
        <w:rPr>
          <w:rFonts w:ascii="Arial" w:hAnsi="Arial" w:cs="Arial"/>
          <w:b/>
          <w:sz w:val="24"/>
          <w:szCs w:val="24"/>
        </w:rPr>
        <w:t>8</w:t>
      </w:r>
      <w:r w:rsidRPr="00874295">
        <w:rPr>
          <w:rFonts w:ascii="Arial" w:hAnsi="Arial" w:cs="Arial"/>
          <w:b/>
          <w:sz w:val="24"/>
          <w:szCs w:val="24"/>
        </w:rPr>
        <w:t xml:space="preserve"> – 12/31/</w:t>
      </w:r>
      <w:r w:rsidR="00701FFF">
        <w:rPr>
          <w:rFonts w:ascii="Arial" w:hAnsi="Arial" w:cs="Arial"/>
          <w:b/>
          <w:sz w:val="24"/>
          <w:szCs w:val="24"/>
        </w:rPr>
        <w:t>2018</w:t>
      </w:r>
    </w:p>
    <w:p w:rsidR="00874295" w:rsidRPr="00874295" w:rsidRDefault="00874295" w:rsidP="00874295">
      <w:pPr>
        <w:pStyle w:val="NoSpacing"/>
        <w:spacing w:line="276" w:lineRule="auto"/>
        <w:rPr>
          <w:rFonts w:ascii="Arial" w:hAnsi="Arial" w:cs="Arial"/>
        </w:rPr>
      </w:pPr>
      <w:r w:rsidRPr="00874295">
        <w:rPr>
          <w:rFonts w:ascii="Arial" w:hAnsi="Arial" w:cs="Arial"/>
        </w:rPr>
        <w:t xml:space="preserve">Health benefits will be provided by </w:t>
      </w:r>
      <w:r w:rsidRPr="00C25941">
        <w:rPr>
          <w:rFonts w:ascii="Arial" w:hAnsi="Arial" w:cs="Arial"/>
          <w:b/>
        </w:rPr>
        <w:t>Carrier</w:t>
      </w:r>
      <w:r w:rsidRPr="00874295">
        <w:rPr>
          <w:rFonts w:ascii="Arial" w:hAnsi="Arial" w:cs="Arial"/>
        </w:rPr>
        <w:t>, and supplemented by an Employer-funded Health Reimbursement Arrangement (HRA) with Choice Strategies, a division of WageWorks.</w:t>
      </w:r>
    </w:p>
    <w:p w:rsidR="00874295" w:rsidRDefault="00874295" w:rsidP="00874295">
      <w:pPr>
        <w:pStyle w:val="NoSpacing"/>
        <w:spacing w:line="276" w:lineRule="auto"/>
        <w:jc w:val="center"/>
        <w:rPr>
          <w:rFonts w:ascii="Arial" w:hAnsi="Arial" w:cs="Arial"/>
          <w:sz w:val="20"/>
          <w:szCs w:val="20"/>
        </w:rPr>
      </w:pPr>
    </w:p>
    <w:p w:rsidR="00874295" w:rsidRPr="00874295" w:rsidRDefault="00874295" w:rsidP="00C25941">
      <w:pPr>
        <w:pStyle w:val="NoSpacing"/>
        <w:spacing w:line="360" w:lineRule="auto"/>
        <w:jc w:val="center"/>
        <w:rPr>
          <w:rFonts w:ascii="Arial" w:hAnsi="Arial" w:cs="Arial"/>
          <w:b/>
          <w:sz w:val="28"/>
          <w:szCs w:val="28"/>
        </w:rPr>
      </w:pPr>
      <w:r w:rsidRPr="00874295">
        <w:rPr>
          <w:rFonts w:ascii="Arial" w:hAnsi="Arial" w:cs="Arial"/>
          <w:b/>
          <w:sz w:val="28"/>
          <w:szCs w:val="28"/>
        </w:rPr>
        <w:t>Health Reimbursement Arrangement – HRA</w:t>
      </w:r>
    </w:p>
    <w:p w:rsidR="00874295" w:rsidRPr="00874295" w:rsidRDefault="00874295" w:rsidP="00874295">
      <w:pPr>
        <w:pStyle w:val="NoSpacing"/>
        <w:numPr>
          <w:ilvl w:val="0"/>
          <w:numId w:val="2"/>
        </w:numPr>
        <w:spacing w:after="120" w:line="276" w:lineRule="auto"/>
        <w:rPr>
          <w:rFonts w:ascii="Arial" w:hAnsi="Arial" w:cs="Arial"/>
        </w:rPr>
      </w:pPr>
      <w:r w:rsidRPr="00874295">
        <w:rPr>
          <w:rFonts w:ascii="Arial" w:hAnsi="Arial" w:cs="Arial"/>
          <w:b/>
        </w:rPr>
        <w:t>Group Name</w:t>
      </w:r>
      <w:r w:rsidRPr="00874295">
        <w:rPr>
          <w:rFonts w:ascii="Arial" w:hAnsi="Arial" w:cs="Arial"/>
        </w:rPr>
        <w:t xml:space="preserve"> is supplying you with a Choice Strategies HRA to pay for eligible medical expenses.  Your account will be funded with:</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single</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two-person</w:t>
      </w:r>
    </w:p>
    <w:p w:rsidR="00874295" w:rsidRPr="00874295" w:rsidRDefault="00874295" w:rsidP="00874295">
      <w:pPr>
        <w:pStyle w:val="NoSpacing"/>
        <w:numPr>
          <w:ilvl w:val="1"/>
          <w:numId w:val="4"/>
        </w:numPr>
        <w:spacing w:after="240"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family</w:t>
      </w:r>
    </w:p>
    <w:p w:rsidR="00874295" w:rsidRPr="00874295" w:rsidRDefault="00874295" w:rsidP="00874295">
      <w:pPr>
        <w:pStyle w:val="NoSpacing"/>
        <w:numPr>
          <w:ilvl w:val="0"/>
          <w:numId w:val="2"/>
        </w:numPr>
        <w:spacing w:after="240" w:line="276" w:lineRule="auto"/>
        <w:rPr>
          <w:rFonts w:ascii="Arial" w:hAnsi="Arial" w:cs="Arial"/>
        </w:rPr>
      </w:pPr>
      <w:r w:rsidRPr="00C25941">
        <w:rPr>
          <w:rFonts w:ascii="Arial" w:hAnsi="Arial" w:cs="Arial"/>
          <w:b/>
        </w:rPr>
        <w:t>Carrier</w:t>
      </w:r>
      <w:r w:rsidRPr="00874295">
        <w:rPr>
          <w:rFonts w:ascii="Arial" w:hAnsi="Arial" w:cs="Arial"/>
        </w:rPr>
        <w:t xml:space="preserve"> will provide Choice Strategies with an electronic data feed containing your claims information.  Claims information received from the data feed will enable Choice Strategies to pay your providers directly from your HRA for any owed amount.  You will not need to submit a claim for HRA medical deductible expenses.</w:t>
      </w:r>
    </w:p>
    <w:p w:rsidR="00874295" w:rsidRPr="00874295" w:rsidRDefault="00874295" w:rsidP="00874295">
      <w:pPr>
        <w:pStyle w:val="NoSpacing"/>
        <w:numPr>
          <w:ilvl w:val="0"/>
          <w:numId w:val="2"/>
        </w:numPr>
        <w:spacing w:after="240" w:line="276" w:lineRule="auto"/>
        <w:rPr>
          <w:rFonts w:ascii="Arial" w:hAnsi="Arial" w:cs="Arial"/>
        </w:rPr>
      </w:pPr>
      <w:r w:rsidRPr="00874295">
        <w:rPr>
          <w:rFonts w:ascii="Arial" w:hAnsi="Arial" w:cs="Arial"/>
        </w:rPr>
        <w:t>You will be provided with a Choice Strategies debit card to pay for eligible prescriptions and FSA/DCA expenses (if you have elected these optional accounts)</w:t>
      </w:r>
    </w:p>
    <w:p w:rsidR="00874295" w:rsidRPr="00874295" w:rsidRDefault="00874295" w:rsidP="00434E0E">
      <w:pPr>
        <w:pStyle w:val="NoSpacing"/>
        <w:numPr>
          <w:ilvl w:val="0"/>
          <w:numId w:val="3"/>
        </w:numPr>
        <w:spacing w:after="120"/>
        <w:rPr>
          <w:rFonts w:ascii="Arial" w:hAnsi="Arial" w:cs="Arial"/>
        </w:rPr>
      </w:pPr>
      <w:r w:rsidRPr="00874295">
        <w:rPr>
          <w:rFonts w:ascii="Arial" w:hAnsi="Arial" w:cs="Arial"/>
        </w:rPr>
        <w:t xml:space="preserve">Eligible medical expenses include any </w:t>
      </w:r>
      <w:r w:rsidR="0016439B">
        <w:rPr>
          <w:rFonts w:ascii="Arial" w:hAnsi="Arial" w:cs="Arial"/>
        </w:rPr>
        <w:t>expense</w:t>
      </w:r>
      <w:r w:rsidRPr="00874295">
        <w:rPr>
          <w:rFonts w:ascii="Arial" w:hAnsi="Arial" w:cs="Arial"/>
        </w:rPr>
        <w:t xml:space="preserve"> that is applied to your</w:t>
      </w:r>
      <w:r w:rsidR="00434E0E">
        <w:rPr>
          <w:rFonts w:ascii="Arial" w:hAnsi="Arial" w:cs="Arial"/>
        </w:rPr>
        <w:t xml:space="preserve"> </w:t>
      </w:r>
      <w:r w:rsidR="00434E0E" w:rsidRPr="00434E0E">
        <w:rPr>
          <w:rFonts w:ascii="Arial" w:hAnsi="Arial" w:cs="Arial"/>
          <w:b/>
        </w:rPr>
        <w:t>Carrier</w:t>
      </w:r>
      <w:r w:rsidRPr="00874295">
        <w:rPr>
          <w:rFonts w:ascii="Arial" w:hAnsi="Arial" w:cs="Arial"/>
        </w:rPr>
        <w:t xml:space="preserve"> deductible</w:t>
      </w:r>
      <w:r w:rsidR="00434E0E">
        <w:rPr>
          <w:rFonts w:ascii="Arial" w:hAnsi="Arial" w:cs="Arial"/>
        </w:rPr>
        <w:t xml:space="preserve"> including, but not limited to</w:t>
      </w:r>
      <w:r w:rsidRPr="00874295">
        <w:rPr>
          <w:rFonts w:ascii="Arial" w:hAnsi="Arial" w:cs="Arial"/>
        </w:rPr>
        <w: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Office Visits</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Inpatient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Outpatient</w:t>
      </w:r>
    </w:p>
    <w:p w:rsidR="00874295" w:rsidRPr="00434E0E" w:rsidRDefault="00874295" w:rsidP="00434E0E">
      <w:pPr>
        <w:pStyle w:val="NoSpacing"/>
        <w:numPr>
          <w:ilvl w:val="1"/>
          <w:numId w:val="3"/>
        </w:numPr>
        <w:spacing w:line="276" w:lineRule="auto"/>
        <w:rPr>
          <w:rFonts w:ascii="Arial" w:hAnsi="Arial" w:cs="Arial"/>
        </w:rPr>
      </w:pPr>
      <w:r w:rsidRPr="00434E0E">
        <w:rPr>
          <w:rFonts w:ascii="Arial" w:hAnsi="Arial" w:cs="Arial"/>
        </w:rPr>
        <w:t>Prescription (Rx)</w:t>
      </w:r>
      <w:r w:rsidRPr="00434E0E">
        <w:rPr>
          <w:rFonts w:ascii="Arial" w:hAnsi="Arial" w:cs="Arial"/>
        </w:rPr>
        <w:br w:type="page"/>
      </w:r>
    </w:p>
    <w:p w:rsidR="00874295" w:rsidRP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jc w:val="center"/>
        <w:rPr>
          <w:rFonts w:ascii="Arial" w:hAnsi="Arial" w:cs="Arial"/>
          <w:b/>
          <w:sz w:val="28"/>
          <w:szCs w:val="28"/>
        </w:rPr>
      </w:pPr>
      <w:r w:rsidRPr="00874295">
        <w:rPr>
          <w:rFonts w:ascii="Arial" w:hAnsi="Arial" w:cs="Arial"/>
          <w:b/>
          <w:sz w:val="28"/>
          <w:szCs w:val="28"/>
        </w:rPr>
        <w:t>Choice Strategies HRA Instructions</w:t>
      </w: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Medical Deductible Expenses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 xml:space="preserve">When you visit a provider, present them with your </w:t>
      </w:r>
      <w:r w:rsidRPr="00874295">
        <w:rPr>
          <w:rFonts w:ascii="Arial" w:hAnsi="Arial" w:cs="Arial"/>
          <w:b/>
        </w:rPr>
        <w:t>Carrier</w:t>
      </w:r>
      <w:r>
        <w:rPr>
          <w:rFonts w:ascii="Arial" w:hAnsi="Arial" w:cs="Arial"/>
        </w:rPr>
        <w:t xml:space="preserve"> Insurance Card.  The provider bills </w:t>
      </w:r>
      <w:r w:rsidRPr="00874295">
        <w:rPr>
          <w:rFonts w:ascii="Arial" w:hAnsi="Arial" w:cs="Arial"/>
          <w:b/>
        </w:rPr>
        <w:t>Carrier</w:t>
      </w:r>
      <w:r>
        <w:rPr>
          <w:rFonts w:ascii="Arial" w:hAnsi="Arial" w:cs="Arial"/>
        </w:rPr>
        <w:t>.</w:t>
      </w:r>
    </w:p>
    <w:p w:rsidR="00874295"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then assigns the negotiated rates and applies charges toward your deductible and includes this information on an electronic data feed to Choice Strategies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Choice Str</w:t>
      </w:r>
      <w:r w:rsidR="002C7306">
        <w:rPr>
          <w:rFonts w:ascii="Arial" w:hAnsi="Arial" w:cs="Arial"/>
        </w:rPr>
        <w:t>ategies receives the data on the electronic</w:t>
      </w:r>
      <w:r>
        <w:rPr>
          <w:rFonts w:ascii="Arial" w:hAnsi="Arial" w:cs="Arial"/>
        </w:rPr>
        <w:t xml:space="preserve"> feed</w:t>
      </w:r>
      <w:r w:rsidR="002C7306">
        <w:rPr>
          <w:rFonts w:ascii="Arial" w:hAnsi="Arial" w:cs="Arial"/>
        </w:rPr>
        <w:t>,</w:t>
      </w:r>
      <w:r>
        <w:rPr>
          <w:rFonts w:ascii="Arial" w:hAnsi="Arial" w:cs="Arial"/>
        </w:rPr>
        <w:t xml:space="preserve"> and pays any owed amounts directly to your provider.</w:t>
      </w:r>
    </w:p>
    <w:p w:rsidR="00874295"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sends you an </w:t>
      </w:r>
      <w:r w:rsidRPr="001E483A">
        <w:rPr>
          <w:rFonts w:ascii="Arial" w:hAnsi="Arial" w:cs="Arial"/>
          <w:i/>
        </w:rPr>
        <w:t>Explanation of Benefits</w:t>
      </w:r>
      <w:r>
        <w:rPr>
          <w:rFonts w:ascii="Arial" w:hAnsi="Arial" w:cs="Arial"/>
        </w:rPr>
        <w:t xml:space="preserve"> (EOB) statement and Choice Strategies sends you notification that your provider has been paid.</w:t>
      </w:r>
    </w:p>
    <w:p w:rsidR="00874295" w:rsidRDefault="00874295" w:rsidP="00874295">
      <w:pPr>
        <w:pStyle w:val="NoSpacing"/>
        <w:spacing w:line="276" w:lineRule="auto"/>
        <w:jc w:val="center"/>
        <w:rPr>
          <w:rFonts w:ascii="Arial" w:hAnsi="Arial" w:cs="Arial"/>
        </w:rPr>
      </w:pPr>
      <w:r>
        <w:rPr>
          <w:rFonts w:ascii="Arial" w:hAnsi="Arial" w:cs="Arial"/>
          <w:noProof/>
        </w:rPr>
        <w:drawing>
          <wp:inline distT="0" distB="0" distL="0" distR="0" wp14:anchorId="5CB9B6C4" wp14:editId="5BA576BC">
            <wp:extent cx="5628271" cy="19594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Pay DF.jpg"/>
                    <pic:cNvPicPr/>
                  </pic:nvPicPr>
                  <pic:blipFill>
                    <a:blip r:embed="rId12">
                      <a:extLst>
                        <a:ext uri="{28A0092B-C50C-407E-A947-70E740481C1C}">
                          <a14:useLocalDpi xmlns:a14="http://schemas.microsoft.com/office/drawing/2010/main" val="0"/>
                        </a:ext>
                      </a:extLst>
                    </a:blip>
                    <a:stretch>
                      <a:fillRect/>
                    </a:stretch>
                  </pic:blipFill>
                  <pic:spPr>
                    <a:xfrm>
                      <a:off x="0" y="0"/>
                      <a:ext cx="5635935" cy="1962097"/>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Prescription (Rx) Expenses</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Present your </w:t>
      </w:r>
      <w:r w:rsidRPr="00874295">
        <w:rPr>
          <w:rFonts w:ascii="Arial" w:hAnsi="Arial" w:cs="Arial"/>
          <w:b/>
        </w:rPr>
        <w:t>Carrier</w:t>
      </w:r>
      <w:r>
        <w:rPr>
          <w:rFonts w:ascii="Arial" w:hAnsi="Arial" w:cs="Arial"/>
        </w:rPr>
        <w:t xml:space="preserve"> ID card to the pharmacist</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After your pharmacist processes the claim through </w:t>
      </w:r>
      <w:r w:rsidRPr="00874295">
        <w:rPr>
          <w:rFonts w:ascii="Arial" w:hAnsi="Arial" w:cs="Arial"/>
          <w:b/>
        </w:rPr>
        <w:t>Carrier</w:t>
      </w:r>
      <w:r>
        <w:rPr>
          <w:rFonts w:ascii="Arial" w:hAnsi="Arial" w:cs="Arial"/>
        </w:rPr>
        <w:t>, the pharmacist will ask you for payment at the time of service.</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Pay with your Choice Strategies card and the amount will</w:t>
      </w:r>
      <w:bookmarkStart w:id="0" w:name="_GoBack"/>
      <w:bookmarkEnd w:id="0"/>
      <w:r>
        <w:rPr>
          <w:rFonts w:ascii="Arial" w:hAnsi="Arial" w:cs="Arial"/>
        </w:rPr>
        <w:t xml:space="preserve"> be processed and applied toward your </w:t>
      </w:r>
      <w:r w:rsidRPr="00874295">
        <w:rPr>
          <w:rFonts w:ascii="Arial" w:hAnsi="Arial" w:cs="Arial"/>
          <w:b/>
        </w:rPr>
        <w:t>Carrier</w:t>
      </w:r>
      <w:r>
        <w:rPr>
          <w:rFonts w:ascii="Arial" w:hAnsi="Arial" w:cs="Arial"/>
        </w:rPr>
        <w:t xml:space="preserve"> deductible.</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Keep the detailed receipt – you may be contacted by Choice Strategies and asked to validate the purchase by providing documentation.</w:t>
      </w:r>
    </w:p>
    <w:p w:rsidR="00874295" w:rsidRDefault="00874295" w:rsidP="00874295">
      <w:pPr>
        <w:pStyle w:val="NoSpacing"/>
        <w:spacing w:line="276" w:lineRule="auto"/>
        <w:jc w:val="center"/>
        <w:rPr>
          <w:rFonts w:ascii="Arial" w:hAnsi="Arial" w:cs="Arial"/>
        </w:rPr>
      </w:pPr>
      <w:r>
        <w:rPr>
          <w:rFonts w:ascii="Arial" w:hAnsi="Arial" w:cs="Arial"/>
          <w:noProof/>
        </w:rPr>
        <w:drawing>
          <wp:inline distT="0" distB="0" distL="0" distR="0" wp14:anchorId="75C8FBF6" wp14:editId="3A76FB43">
            <wp:extent cx="4204481" cy="1463970"/>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 card process.jpg"/>
                    <pic:cNvPicPr/>
                  </pic:nvPicPr>
                  <pic:blipFill>
                    <a:blip r:embed="rId13">
                      <a:extLst>
                        <a:ext uri="{28A0092B-C50C-407E-A947-70E740481C1C}">
                          <a14:useLocalDpi xmlns:a14="http://schemas.microsoft.com/office/drawing/2010/main" val="0"/>
                        </a:ext>
                      </a:extLst>
                    </a:blip>
                    <a:stretch>
                      <a:fillRect/>
                    </a:stretch>
                  </pic:blipFill>
                  <pic:spPr>
                    <a:xfrm>
                      <a:off x="0" y="0"/>
                      <a:ext cx="4214519" cy="1467465"/>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701FFF">
        <w:rPr>
          <w:rFonts w:ascii="Arial" w:hAnsi="Arial" w:cs="Arial"/>
          <w:b/>
        </w:rPr>
        <w:t>$2,65</w:t>
      </w:r>
      <w:r w:rsidR="00344BDA">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4"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74295">
      <w:pPr>
        <w:pStyle w:val="NoSpacing"/>
        <w:spacing w:line="276" w:lineRule="auto"/>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Dependent Care Account – DCA </w:t>
      </w:r>
      <w:r w:rsidRPr="00874295">
        <w:rPr>
          <w:rFonts w:ascii="Arial" w:hAnsi="Arial" w:cs="Arial"/>
          <w:sz w:val="28"/>
          <w:szCs w:val="28"/>
        </w:rPr>
        <w:t>(Optional)</w:t>
      </w:r>
    </w:p>
    <w:p w:rsidR="00874295" w:rsidRDefault="00874295" w:rsidP="00874295">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Eligible expenses include custodial care of dependents while employee is at work.  For a more detailed search engine, see: </w:t>
      </w:r>
      <w:hyperlink r:id="rId15" w:history="1">
        <w:r w:rsidRPr="004C0052">
          <w:rPr>
            <w:rStyle w:val="Hyperlink"/>
            <w:rFonts w:ascii="Arial" w:hAnsi="Arial" w:cs="Arial"/>
          </w:rPr>
          <w:t>https://www.wageworks.com/employees/support-center/dcfsa-eligible-expenses-table/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120" w:line="276" w:lineRule="auto"/>
        <w:ind w:left="360"/>
        <w:jc w:val="center"/>
        <w:rPr>
          <w:rFonts w:ascii="Arial" w:hAnsi="Arial" w:cs="Arial"/>
          <w:b/>
          <w:sz w:val="28"/>
          <w:szCs w:val="28"/>
        </w:rPr>
        <w:sectPr w:rsidR="00874295" w:rsidSect="00C25941">
          <w:type w:val="continuous"/>
          <w:pgSz w:w="12240" w:h="15840"/>
          <w:pgMar w:top="1260" w:right="1440" w:bottom="1260" w:left="1440" w:header="0" w:footer="0" w:gutter="0"/>
          <w:cols w:space="720"/>
          <w:docGrid w:linePitch="360"/>
        </w:sectPr>
      </w:pPr>
    </w:p>
    <w:p w:rsidR="00874295" w:rsidRDefault="00874295" w:rsidP="00874295">
      <w:pPr>
        <w:pStyle w:val="NoSpacing"/>
        <w:spacing w:after="120" w:line="276" w:lineRule="auto"/>
        <w:ind w:left="360"/>
        <w:jc w:val="center"/>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spacing w:after="120" w:line="276" w:lineRule="auto"/>
        <w:ind w:left="360"/>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*Due to Healthcare Reform, some expenses and OTC medications, like aspirin or cold medication are eligible for FSA reimbursement only when accompanied by a prescription or letter of medical necessity from your provider.  These expenses often must be reimbursed by claim submission instead of by using the Choice Strategies debit card.</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6"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t>Choice Strategies FSA and/or DCA Instructions</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7"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Pay for eligible expenses with your Choice Strategies debit card and the amount will be deducted from your Choice Strategies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Keep the detailed receipt, as you may be asked to validate the purchase by Choice Strategies.  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Pr="00874295" w:rsidRDefault="00874295" w:rsidP="00C25941">
      <w:pPr>
        <w:pStyle w:val="NoSpacing"/>
        <w:tabs>
          <w:tab w:val="left" w:pos="540"/>
        </w:tabs>
        <w:ind w:left="540"/>
        <w:rPr>
          <w:rFonts w:ascii="Arial" w:hAnsi="Arial" w:cs="Arial"/>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 Choice Strategies reimbursement.  You may be asked to provide documentation for some charges made with your Choice Strategies debit card.</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For any expense for which you cannot use your debit card, you can submit claims for reimbursement.  For faster reimbursement, 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8"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Default="005D7440" w:rsidP="00C25941">
      <w:pPr>
        <w:pStyle w:val="NoSpacing"/>
        <w:tabs>
          <w:tab w:val="left" w:pos="540"/>
        </w:tabs>
        <w:ind w:left="540" w:hanging="360"/>
        <w:rPr>
          <w:rFonts w:ascii="Arial" w:hAnsi="Arial" w:cs="Arial"/>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9"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C25941">
      <w:pPr>
        <w:pStyle w:val="NoSpacing"/>
        <w:numPr>
          <w:ilvl w:val="0"/>
          <w:numId w:val="16"/>
        </w:numPr>
        <w:tabs>
          <w:tab w:val="left" w:pos="900"/>
        </w:tabs>
        <w:spacing w:after="240"/>
        <w:ind w:left="900" w:hanging="180"/>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Default="005D7440" w:rsidP="00C25941">
      <w:pPr>
        <w:pStyle w:val="NoSpacing"/>
        <w:spacing w:line="276" w:lineRule="auto"/>
        <w:ind w:left="900" w:hanging="180"/>
        <w:rPr>
          <w:rFonts w:ascii="Arial" w:hAnsi="Arial" w:cs="Arial"/>
          <w:sz w:val="20"/>
          <w:szCs w:val="20"/>
        </w:rPr>
      </w:pPr>
    </w:p>
    <w:p w:rsidR="005D7440" w:rsidRPr="005D7440" w:rsidRDefault="005D7440" w:rsidP="005D7440">
      <w:pPr>
        <w:pStyle w:val="NoSpacing"/>
        <w:spacing w:line="276" w:lineRule="auto"/>
        <w:ind w:left="1440"/>
        <w:rPr>
          <w:rFonts w:ascii="Arial" w:hAnsi="Arial" w:cs="Arial"/>
          <w:sz w:val="20"/>
          <w:szCs w:val="20"/>
        </w:rPr>
      </w:pPr>
    </w:p>
    <w:p w:rsidR="005D7440" w:rsidRPr="005D7440" w:rsidRDefault="00C25941"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14:anchorId="59411656" wp14:editId="3102B756">
            <wp:simplePos x="0" y="0"/>
            <wp:positionH relativeFrom="column">
              <wp:posOffset>3755390</wp:posOffset>
            </wp:positionH>
            <wp:positionV relativeFrom="paragraph">
              <wp:posOffset>50165</wp:posOffset>
            </wp:positionV>
            <wp:extent cx="747395" cy="1075055"/>
            <wp:effectExtent l="57150" t="57150" r="109855" b="106045"/>
            <wp:wrapTight wrapText="bothSides">
              <wp:wrapPolygon edited="0">
                <wp:start x="0" y="-1148"/>
                <wp:lineTo x="-1652" y="-766"/>
                <wp:lineTo x="-1652" y="21817"/>
                <wp:lineTo x="-551" y="23348"/>
                <wp:lineTo x="22573" y="23348"/>
                <wp:lineTo x="24224" y="17989"/>
                <wp:lineTo x="24224" y="5359"/>
                <wp:lineTo x="22573" y="-383"/>
                <wp:lineTo x="22573" y="-1148"/>
                <wp:lineTo x="0" y="-114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20" cstate="print">
                      <a:extLst>
                        <a:ext uri="{28A0092B-C50C-407E-A947-70E740481C1C}">
                          <a14:useLocalDpi xmlns:a14="http://schemas.microsoft.com/office/drawing/2010/main" val="0"/>
                        </a:ext>
                      </a:extLst>
                    </a:blip>
                    <a:srcRect t="4124"/>
                    <a:stretch/>
                  </pic:blipFill>
                  <pic:spPr bwMode="auto">
                    <a:xfrm>
                      <a:off x="0" y="0"/>
                      <a:ext cx="747395" cy="107505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823" behindDoc="1" locked="0" layoutInCell="1" allowOverlap="1" wp14:anchorId="457338CE" wp14:editId="70571EAF">
            <wp:simplePos x="0" y="0"/>
            <wp:positionH relativeFrom="column">
              <wp:posOffset>4867910</wp:posOffset>
            </wp:positionH>
            <wp:positionV relativeFrom="paragraph">
              <wp:posOffset>125095</wp:posOffset>
            </wp:positionV>
            <wp:extent cx="748030" cy="1076325"/>
            <wp:effectExtent l="19050" t="19050" r="13970" b="28575"/>
            <wp:wrapTight wrapText="bothSides">
              <wp:wrapPolygon edited="0">
                <wp:start x="-550" y="-382"/>
                <wp:lineTo x="-550" y="21791"/>
                <wp:lineTo x="21453" y="21791"/>
                <wp:lineTo x="21453" y="-382"/>
                <wp:lineTo x="-550" y="-38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21" cstate="print">
                      <a:extLst>
                        <a:ext uri="{28A0092B-C50C-407E-A947-70E740481C1C}">
                          <a14:useLocalDpi xmlns:a14="http://schemas.microsoft.com/office/drawing/2010/main" val="0"/>
                        </a:ext>
                      </a:extLst>
                    </a:blip>
                    <a:srcRect t="4082"/>
                    <a:stretch/>
                  </pic:blipFill>
                  <pic:spPr bwMode="auto">
                    <a:xfrm>
                      <a:off x="0" y="0"/>
                      <a:ext cx="748030" cy="10763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5D7440" w:rsidRDefault="00C25941" w:rsidP="005D7440">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2069B82" wp14:editId="1288A771">
            <wp:simplePos x="0" y="0"/>
            <wp:positionH relativeFrom="column">
              <wp:posOffset>4300855</wp:posOffset>
            </wp:positionH>
            <wp:positionV relativeFrom="paragraph">
              <wp:posOffset>236220</wp:posOffset>
            </wp:positionV>
            <wp:extent cx="742315" cy="1068705"/>
            <wp:effectExtent l="57150" t="57150" r="114935" b="112395"/>
            <wp:wrapTight wrapText="bothSides">
              <wp:wrapPolygon edited="0">
                <wp:start x="0" y="-1155"/>
                <wp:lineTo x="-1663" y="-770"/>
                <wp:lineTo x="-1663" y="21947"/>
                <wp:lineTo x="-554" y="23487"/>
                <wp:lineTo x="22727" y="23487"/>
                <wp:lineTo x="24390" y="18096"/>
                <wp:lineTo x="24390" y="5390"/>
                <wp:lineTo x="22727" y="-385"/>
                <wp:lineTo x="22727" y="-1155"/>
                <wp:lineTo x="0" y="-1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2" cstate="print">
                      <a:extLst>
                        <a:ext uri="{28A0092B-C50C-407E-A947-70E740481C1C}">
                          <a14:useLocalDpi xmlns:a14="http://schemas.microsoft.com/office/drawing/2010/main" val="0"/>
                        </a:ext>
                      </a:extLst>
                    </a:blip>
                    <a:srcRect t="4045"/>
                    <a:stretch/>
                  </pic:blipFill>
                  <pic:spPr bwMode="auto">
                    <a:xfrm>
                      <a:off x="0" y="0"/>
                      <a:ext cx="742315" cy="106870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p w:rsidR="00874295" w:rsidRDefault="00874295" w:rsidP="00874295">
      <w:pPr>
        <w:pStyle w:val="NoSpacing"/>
        <w:rPr>
          <w:rFonts w:ascii="Arial" w:hAnsi="Arial" w:cs="Arial"/>
        </w:rPr>
      </w:pP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128" w:rsidRDefault="00BC7128" w:rsidP="00874295">
      <w:pPr>
        <w:spacing w:after="0" w:line="240" w:lineRule="auto"/>
      </w:pPr>
      <w:r>
        <w:separator/>
      </w:r>
    </w:p>
  </w:endnote>
  <w:endnote w:type="continuationSeparator" w:id="0">
    <w:p w:rsidR="00BC7128" w:rsidRDefault="00BC7128"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128" w:rsidRDefault="00BC7128" w:rsidP="00874295">
      <w:pPr>
        <w:spacing w:after="0" w:line="240" w:lineRule="auto"/>
      </w:pPr>
      <w:r>
        <w:separator/>
      </w:r>
    </w:p>
  </w:footnote>
  <w:footnote w:type="continuationSeparator" w:id="0">
    <w:p w:rsidR="00BC7128" w:rsidRDefault="00BC7128"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26CA"/>
    <w:multiLevelType w:val="hybridMultilevel"/>
    <w:tmpl w:val="23E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10"/>
  </w:num>
  <w:num w:numId="6">
    <w:abstractNumId w:val="7"/>
  </w:num>
  <w:num w:numId="7">
    <w:abstractNumId w:val="16"/>
  </w:num>
  <w:num w:numId="8">
    <w:abstractNumId w:val="15"/>
  </w:num>
  <w:num w:numId="9">
    <w:abstractNumId w:val="2"/>
  </w:num>
  <w:num w:numId="10">
    <w:abstractNumId w:val="12"/>
  </w:num>
  <w:num w:numId="11">
    <w:abstractNumId w:val="4"/>
  </w:num>
  <w:num w:numId="12">
    <w:abstractNumId w:val="14"/>
  </w:num>
  <w:num w:numId="13">
    <w:abstractNumId w:val="6"/>
  </w:num>
  <w:num w:numId="14">
    <w:abstractNumId w:val="9"/>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7794B"/>
    <w:rsid w:val="000F47E1"/>
    <w:rsid w:val="0016439B"/>
    <w:rsid w:val="001E483A"/>
    <w:rsid w:val="00220636"/>
    <w:rsid w:val="002C7306"/>
    <w:rsid w:val="00344BDA"/>
    <w:rsid w:val="003E3DC4"/>
    <w:rsid w:val="00434E0E"/>
    <w:rsid w:val="005D7440"/>
    <w:rsid w:val="00701FFF"/>
    <w:rsid w:val="00874295"/>
    <w:rsid w:val="009641E1"/>
    <w:rsid w:val="0096783F"/>
    <w:rsid w:val="009F1720"/>
    <w:rsid w:val="00A75A1C"/>
    <w:rsid w:val="00AD466F"/>
    <w:rsid w:val="00BC7128"/>
    <w:rsid w:val="00BD320B"/>
    <w:rsid w:val="00C25941"/>
    <w:rsid w:val="00D0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4725"/>
  <w15:docId w15:val="{98327A91-28C4-4F86-AB17-AE452698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hyperlink" Target="http://www.choice-strategies.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s://www.wageworks.com/employees/support-center/healthcare-fsa-eligible-expenses-table/"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geworks.com/employees/support-center/dcfsa-eligible-expenses-table/" TargetMode="External"/><Relationship Id="rId23" Type="http://schemas.openxmlformats.org/officeDocument/2006/relationships/fontTable" Target="fontTable.xml"/><Relationship Id="rId10" Type="http://schemas.openxmlformats.org/officeDocument/2006/relationships/hyperlink" Target="mailto:sales@choice-strategies.com" TargetMode="External"/><Relationship Id="rId19" Type="http://schemas.openxmlformats.org/officeDocument/2006/relationships/hyperlink" Target="http://www.choice-strategi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healthcare-fsa-eligible-expenses-table/"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2017-12-19T20:28:00Z</dcterms:created>
  <dcterms:modified xsi:type="dcterms:W3CDTF">2017-12-19T20:28:00Z</dcterms:modified>
</cp:coreProperties>
</file>