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6B50ADA8">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47B71765"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0E30A2">
        <w:rPr>
          <w:rFonts w:ascii="Arial" w:hAnsi="Arial" w:cs="Arial"/>
        </w:rPr>
        <w:t>May 1, 2021</w:t>
      </w:r>
      <w:r w:rsidR="000E30A2" w:rsidRPr="008D07C2">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DAA9E29">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557937D6" w:rsidR="00653267" w:rsidRPr="00653267" w:rsidRDefault="000E30A2" w:rsidP="00653267">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2020 – April 30, 2021</w:t>
            </w: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563B4BEA"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2 ½-month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475F21C8"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5DAA9E29">
              <w:rPr>
                <w:rFonts w:ascii="Arial" w:eastAsia="Arial" w:hAnsi="Arial" w:cs="Arial"/>
              </w:rPr>
              <w:t xml:space="preserve">If you have a </w:t>
            </w:r>
            <w:bookmarkStart w:id="0" w:name="_Hlk56510349"/>
            <w:r w:rsidRPr="5DAA9E29">
              <w:rPr>
                <w:rFonts w:ascii="Arial" w:eastAsia="Arial" w:hAnsi="Arial" w:cs="Arial"/>
              </w:rPr>
              <w:t>Spending Account by WageWorks debit card</w:t>
            </w:r>
            <w:bookmarkEnd w:id="0"/>
            <w:r w:rsidRPr="5DAA9E29">
              <w:rPr>
                <w:rFonts w:ascii="Arial" w:eastAsia="Arial" w:hAnsi="Arial" w:cs="Arial"/>
              </w:rPr>
              <w:t xml:space="preserve">, </w:t>
            </w:r>
            <w:r w:rsidR="54D58A15" w:rsidRPr="5DAA9E29">
              <w:rPr>
                <w:rFonts w:ascii="Arial" w:eastAsia="Arial" w:hAnsi="Arial" w:cs="Arial"/>
              </w:rPr>
              <w:t xml:space="preserve">the FSA balance </w:t>
            </w:r>
            <w:r w:rsidRPr="5DAA9E29">
              <w:rPr>
                <w:rFonts w:ascii="Arial" w:eastAsia="Arial" w:hAnsi="Arial" w:cs="Arial"/>
              </w:rPr>
              <w:t xml:space="preserve">will remain active through </w:t>
            </w:r>
            <w:r w:rsidR="000E30A2" w:rsidRPr="00C92BE9">
              <w:rPr>
                <w:rFonts w:ascii="Arial" w:eastAsia="Arial" w:hAnsi="Arial" w:cs="Arial"/>
                <w:color w:val="000000" w:themeColor="text1"/>
              </w:rPr>
              <w:t>April 30, 2021.</w:t>
            </w:r>
            <w:r w:rsidR="000E30A2" w:rsidRPr="00C92BE9">
              <w:rPr>
                <w:rFonts w:ascii="Arial" w:eastAsia="Arial" w:hAnsi="Arial" w:cs="Arial"/>
                <w:color w:val="FF0000"/>
              </w:rPr>
              <w:t xml:space="preserve"> </w:t>
            </w:r>
            <w:r w:rsidR="000E30A2" w:rsidRPr="00C92BE9">
              <w:rPr>
                <w:rFonts w:ascii="Arial" w:eastAsia="Arial" w:hAnsi="Arial" w:cs="Arial"/>
                <w:color w:val="000000" w:themeColor="text1"/>
              </w:rPr>
              <w:t xml:space="preserve"> </w:t>
            </w:r>
          </w:p>
          <w:p w14:paraId="603A76E7" w14:textId="6DE06B3A"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5DAA9E29">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1E7529AF" w:rsidR="00653267" w:rsidRPr="00653267" w:rsidRDefault="000E30A2" w:rsidP="006327BF">
            <w:pPr>
              <w:spacing w:beforeLines="80" w:before="192" w:afterLines="80" w:after="192" w:line="240" w:lineRule="auto"/>
              <w:jc w:val="center"/>
              <w:rPr>
                <w:rFonts w:ascii="Arial" w:hAnsi="Arial" w:cs="Arial"/>
                <w:b/>
                <w:color w:val="000000"/>
              </w:rPr>
            </w:pPr>
            <w:r w:rsidRPr="00476CFA">
              <w:rPr>
                <w:rFonts w:ascii="Arial" w:eastAsiaTheme="majorEastAsia" w:hAnsi="Arial" w:cs="Arial"/>
              </w:rPr>
              <w:t>May 1, 202</w:t>
            </w:r>
            <w:r>
              <w:rPr>
                <w:rFonts w:ascii="Arial" w:eastAsiaTheme="majorEastAsia" w:hAnsi="Arial" w:cs="Arial"/>
              </w:rPr>
              <w:t>1</w:t>
            </w:r>
            <w:r w:rsidRPr="00476CFA">
              <w:rPr>
                <w:rFonts w:ascii="Arial" w:eastAsiaTheme="majorEastAsia" w:hAnsi="Arial" w:cs="Arial"/>
              </w:rPr>
              <w:t xml:space="preserve"> – April 30, 202</w:t>
            </w:r>
            <w:r>
              <w:rPr>
                <w:rFonts w:ascii="Arial" w:eastAsiaTheme="majorEastAsia" w:hAnsi="Arial" w:cs="Arial"/>
              </w:rPr>
              <w:t>2</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08695991"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6EED571" id="Freeform 28" o:spid="_x0000_s1026"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65E6979" id="Freeform 28" o:spid="_x0000_s1026"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path="m,l10320,e" filled="f" strokecolor="#00aac6" strokeweight="1pt">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A557179"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11DC90C4" w:rsidR="0FC8A8FC" w:rsidRDefault="0FC8A8FC">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694D29F" id="Freeform 28" o:spid="_x0000_s1026"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path="m,l10320,e" filled="f" strokecolor="#00aac6" strokeweight="1pt">
                <v:path arrowok="t" o:connecttype="custom" o:connectlocs="0,0;6400800,0" o:connectangles="0,0"/>
                <w10:wrap type="topAndBottom" anchorx="page"/>
              </v:shape>
            </w:pict>
          </mc:Fallback>
        </mc:AlternateContent>
      </w:r>
    </w:p>
    <w:p w14:paraId="6923889E" w14:textId="4A2B82C0" w:rsidR="0FC8A8FC" w:rsidRDefault="0FC8A8FC">
      <w:r w:rsidRPr="5DAA9E29">
        <w:rPr>
          <w:rFonts w:ascii="Arial" w:eastAsia="Arial" w:hAnsi="Arial" w:cs="Arial"/>
          <w:b/>
          <w:bCs/>
          <w:color w:val="000000" w:themeColor="text1"/>
        </w:rPr>
        <w:t>Will my current Spending Account Card by WageWorks debit card still work?</w:t>
      </w:r>
    </w:p>
    <w:p w14:paraId="0B91FF7C" w14:textId="53FB4EEC" w:rsidR="0FC8A8FC" w:rsidRDefault="0FC8A8FC">
      <w:r w:rsidRPr="5DAA9E29">
        <w:rPr>
          <w:rFonts w:ascii="Arial" w:eastAsia="Arial" w:hAnsi="Arial" w:cs="Arial"/>
        </w:rPr>
        <w:t xml:space="preserve">If you have a Spending Account by WageWorks debit card, the FSA balance will remain active through </w:t>
      </w:r>
      <w:r w:rsidR="000E30A2">
        <w:rPr>
          <w:rFonts w:ascii="Arial" w:eastAsia="Arial" w:hAnsi="Arial" w:cs="Arial"/>
        </w:rPr>
        <w:t>April 30, 2021</w:t>
      </w:r>
      <w:r w:rsidR="000E30A2" w:rsidRPr="59C732CF">
        <w:rPr>
          <w:rFonts w:ascii="Arial" w:eastAsia="Arial" w:hAnsi="Arial" w:cs="Arial"/>
        </w:rPr>
        <w:t>.</w:t>
      </w:r>
      <w:r w:rsidR="000E30A2" w:rsidRPr="59C732CF">
        <w:rPr>
          <w:rFonts w:ascii="Arial" w:eastAsia="Arial" w:hAnsi="Arial" w:cs="Arial"/>
          <w:color w:val="FF0000"/>
        </w:rPr>
        <w:t xml:space="preserve"> </w:t>
      </w:r>
      <w:r w:rsidRPr="5DAA9E29">
        <w:rPr>
          <w:rFonts w:ascii="Arial" w:eastAsia="Arial" w:hAnsi="Arial" w:cs="Arial"/>
        </w:rPr>
        <w:t xml:space="preserve">If you have expenses incurred in your grace period, you will need to pay for these claims out of pocket and submit a claim to spend down your current account balance on the My Spending Account platform during your grace period and/or run-out period. </w:t>
      </w:r>
    </w:p>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4CEBF4B" w:rsidR="0FC8A8FC" w:rsidRDefault="0FC8A8FC">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365E2EA9" id="Freeform 28" o:spid="_x0000_s1026"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lastRenderedPageBreak/>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292A0587" id="Freeform 28" o:spid="_x0000_s1026"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7A51A06A"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6D62967D" id="Freeform 28" o:spid="_x0000_s1026"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path="m,l10320,e" filled="f" strokecolor="#00aac6" strokeweight="1pt">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today or</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072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E30A2"/>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4E41"/>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27BF"/>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6246B"/>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4A7F"/>
    <w:rsid w:val="00EE19F0"/>
    <w:rsid w:val="00EE374C"/>
    <w:rsid w:val="00F01443"/>
    <w:rsid w:val="00F02C28"/>
    <w:rsid w:val="00F06E6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875"/>
    <w:rsid w:val="00F76E98"/>
    <w:rsid w:val="00F85F3E"/>
    <w:rsid w:val="00F869AB"/>
    <w:rsid w:val="00FA3065"/>
    <w:rsid w:val="00FA41F7"/>
    <w:rsid w:val="00FA7A31"/>
    <w:rsid w:val="00FB4675"/>
    <w:rsid w:val="00FB649C"/>
    <w:rsid w:val="00FC7CC9"/>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F7866BF"/>
    <w:rsid w:val="61C44EBA"/>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styleId="UnresolvedMention">
    <w:name w:val="Unresolved Mention"/>
    <w:basedOn w:val="DefaultParagraphFont"/>
    <w:uiPriority w:val="99"/>
    <w:semiHidden/>
    <w:unhideWhenUsed/>
    <w:rsid w:val="00DF194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18900-49ED-482D-A27B-E4BC75A10DEF}">
  <ds:schemaRefs>
    <ds:schemaRef ds:uri="http://schemas.openxmlformats.org/officeDocument/2006/bibliography"/>
  </ds:schemaRefs>
</ds:datastoreItem>
</file>

<file path=customXml/itemProps2.xml><?xml version="1.0" encoding="utf-8"?>
<ds:datastoreItem xmlns:ds="http://schemas.openxmlformats.org/officeDocument/2006/customXml" ds:itemID="{79FEC0B9-C487-458B-93E1-E2E30E9D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Cheryl Calore-Abatecola</cp:lastModifiedBy>
  <cp:revision>3</cp:revision>
  <cp:lastPrinted>2020-06-15T20:17:00Z</cp:lastPrinted>
  <dcterms:created xsi:type="dcterms:W3CDTF">2021-02-08T21:20:00Z</dcterms:created>
  <dcterms:modified xsi:type="dcterms:W3CDTF">2021-02-08T21:22:00Z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