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137C4995"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 </w:t>
      </w:r>
      <w:r w:rsidR="008A60CA">
        <w:rPr>
          <w:rFonts w:ascii="Arial" w:hAnsi="Arial" w:cs="Arial"/>
        </w:rPr>
        <w:t>June</w:t>
      </w:r>
      <w:r w:rsidR="00B7606A">
        <w:rPr>
          <w:rFonts w:ascii="Arial" w:hAnsi="Arial" w:cs="Arial"/>
        </w:rPr>
        <w:t xml:space="preserve"> 1, 2021,</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CAD57A8" w:rsidR="004222E2" w:rsidRDefault="008A60CA">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B7606A" w:rsidRPr="00476CFA">
              <w:rPr>
                <w:rFonts w:ascii="Arial" w:eastAsiaTheme="majorEastAsia" w:hAnsi="Arial" w:cs="Arial"/>
              </w:rPr>
              <w:t xml:space="preserve"> 1, 2020 – </w:t>
            </w:r>
            <w:r>
              <w:rPr>
                <w:rFonts w:ascii="Arial" w:eastAsiaTheme="majorEastAsia" w:hAnsi="Arial" w:cs="Arial"/>
              </w:rPr>
              <w:t>May</w:t>
            </w:r>
            <w:r w:rsidR="00B7606A" w:rsidRPr="00476CFA">
              <w:rPr>
                <w:rFonts w:ascii="Arial" w:eastAsiaTheme="majorEastAsia" w:hAnsi="Arial" w:cs="Arial"/>
              </w:rPr>
              <w:t xml:space="preserve"> 3</w:t>
            </w:r>
            <w:r>
              <w:rPr>
                <w:rFonts w:ascii="Arial" w:eastAsiaTheme="majorEastAsia" w:hAnsi="Arial" w:cs="Arial"/>
              </w:rPr>
              <w:t>1</w:t>
            </w:r>
            <w:r w:rsidR="00B7606A"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0EE74882"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 xml:space="preserve">through </w:t>
            </w:r>
            <w:r w:rsidR="008A60CA">
              <w:rPr>
                <w:rFonts w:ascii="Arial" w:eastAsia="Arial" w:hAnsi="Arial" w:cs="Arial"/>
                <w:color w:val="000000" w:themeColor="text1"/>
              </w:rPr>
              <w:t>May</w:t>
            </w:r>
            <w:r w:rsidR="00B7606A" w:rsidRPr="00C92BE9">
              <w:rPr>
                <w:rFonts w:ascii="Arial" w:eastAsia="Arial" w:hAnsi="Arial" w:cs="Arial"/>
                <w:color w:val="000000" w:themeColor="text1"/>
              </w:rPr>
              <w:t xml:space="preserve"> 3</w:t>
            </w:r>
            <w:r w:rsidR="008A60CA">
              <w:rPr>
                <w:rFonts w:ascii="Arial" w:eastAsia="Arial" w:hAnsi="Arial" w:cs="Arial"/>
                <w:color w:val="000000" w:themeColor="text1"/>
              </w:rPr>
              <w:t>1</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60825B00" w:rsidR="00B7606A" w:rsidRPr="00653267" w:rsidRDefault="008A60CA" w:rsidP="00B7606A">
            <w:pPr>
              <w:spacing w:beforeLines="80" w:before="192" w:afterLines="80" w:after="192" w:line="240" w:lineRule="auto"/>
              <w:jc w:val="center"/>
              <w:rPr>
                <w:rFonts w:ascii="Arial" w:eastAsiaTheme="majorEastAsia" w:hAnsi="Arial" w:cs="Arial"/>
              </w:rPr>
            </w:pPr>
            <w:r>
              <w:rPr>
                <w:rFonts w:ascii="Arial" w:eastAsiaTheme="majorEastAsia" w:hAnsi="Arial" w:cs="Arial"/>
              </w:rPr>
              <w:t>June</w:t>
            </w:r>
            <w:r w:rsidR="00B7606A" w:rsidRPr="00476CFA">
              <w:rPr>
                <w:rFonts w:ascii="Arial" w:eastAsiaTheme="majorEastAsia" w:hAnsi="Arial" w:cs="Arial"/>
              </w:rPr>
              <w:t xml:space="preserve"> 1, 202</w:t>
            </w:r>
            <w:r w:rsidR="00B7606A">
              <w:rPr>
                <w:rFonts w:ascii="Arial" w:eastAsiaTheme="majorEastAsia" w:hAnsi="Arial" w:cs="Arial"/>
              </w:rPr>
              <w:t>1</w:t>
            </w:r>
            <w:r w:rsidR="00B7606A" w:rsidRPr="00476CFA">
              <w:rPr>
                <w:rFonts w:ascii="Arial" w:eastAsiaTheme="majorEastAsia" w:hAnsi="Arial" w:cs="Arial"/>
              </w:rPr>
              <w:t xml:space="preserve"> – </w:t>
            </w:r>
            <w:r>
              <w:rPr>
                <w:rFonts w:ascii="Arial" w:eastAsiaTheme="majorEastAsia" w:hAnsi="Arial" w:cs="Arial"/>
              </w:rPr>
              <w:t>May</w:t>
            </w:r>
            <w:r w:rsidR="00B7606A" w:rsidRPr="00476CFA">
              <w:rPr>
                <w:rFonts w:ascii="Arial" w:eastAsiaTheme="majorEastAsia" w:hAnsi="Arial" w:cs="Arial"/>
              </w:rPr>
              <w:t xml:space="preserve"> 3</w:t>
            </w:r>
            <w:r>
              <w:rPr>
                <w:rFonts w:ascii="Arial" w:eastAsiaTheme="majorEastAsia" w:hAnsi="Arial" w:cs="Arial"/>
              </w:rPr>
              <w:t>1</w:t>
            </w:r>
            <w:r w:rsidR="00B7606A" w:rsidRPr="00476CFA">
              <w:rPr>
                <w:rFonts w:ascii="Arial" w:eastAsiaTheme="majorEastAsia" w:hAnsi="Arial" w:cs="Arial"/>
              </w:rPr>
              <w:t>, 202</w:t>
            </w:r>
            <w:r w:rsidR="00B7606A">
              <w:rPr>
                <w:rFonts w:ascii="Arial" w:eastAsiaTheme="majorEastAsia" w:hAnsi="Arial" w:cs="Arial"/>
              </w:rPr>
              <w:t>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CE789"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E4D87"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B2306"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888EF"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A3D20"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D6D62"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0E9BE7EF"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r w:rsidR="008A60CA">
        <w:rPr>
          <w:rFonts w:ascii="Arial" w:eastAsia="Arial" w:hAnsi="Arial" w:cs="Arial"/>
          <w:color w:val="000000" w:themeColor="text1"/>
        </w:rPr>
        <w:t>May</w:t>
      </w:r>
      <w:r w:rsidR="00B7606A" w:rsidRPr="00C92BE9">
        <w:rPr>
          <w:rFonts w:ascii="Arial" w:eastAsia="Arial" w:hAnsi="Arial" w:cs="Arial"/>
          <w:color w:val="000000" w:themeColor="text1"/>
        </w:rPr>
        <w:t xml:space="preserve"> 3</w:t>
      </w:r>
      <w:r w:rsidR="008A60CA">
        <w:rPr>
          <w:rFonts w:ascii="Arial" w:eastAsia="Arial" w:hAnsi="Arial" w:cs="Arial"/>
          <w:color w:val="000000" w:themeColor="text1"/>
        </w:rPr>
        <w:t>1</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28CD"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50778"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532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34E9"/>
    <w:rsid w:val="00122D85"/>
    <w:rsid w:val="001332B5"/>
    <w:rsid w:val="0013507D"/>
    <w:rsid w:val="00136169"/>
    <w:rsid w:val="00137603"/>
    <w:rsid w:val="00141E01"/>
    <w:rsid w:val="0014270B"/>
    <w:rsid w:val="001443AC"/>
    <w:rsid w:val="001452FD"/>
    <w:rsid w:val="00161A86"/>
    <w:rsid w:val="00164960"/>
    <w:rsid w:val="00174E41"/>
    <w:rsid w:val="00190B20"/>
    <w:rsid w:val="00196817"/>
    <w:rsid w:val="001975BC"/>
    <w:rsid w:val="001A4F36"/>
    <w:rsid w:val="001A5E58"/>
    <w:rsid w:val="001B69FB"/>
    <w:rsid w:val="001C7631"/>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A4B90"/>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60CA"/>
    <w:rsid w:val="008B3482"/>
    <w:rsid w:val="008B4C9A"/>
    <w:rsid w:val="008C250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C10BCA"/>
    <w:rsid w:val="00C23873"/>
    <w:rsid w:val="00C25317"/>
    <w:rsid w:val="00C46CE4"/>
    <w:rsid w:val="00C61E12"/>
    <w:rsid w:val="00C8307E"/>
    <w:rsid w:val="00C914B8"/>
    <w:rsid w:val="00C95A05"/>
    <w:rsid w:val="00C96E22"/>
    <w:rsid w:val="00CA0181"/>
    <w:rsid w:val="00CB3E37"/>
    <w:rsid w:val="00CB4E8A"/>
    <w:rsid w:val="00CC1F9E"/>
    <w:rsid w:val="00CC243A"/>
    <w:rsid w:val="00CC2F45"/>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5F79"/>
    <w:rsid w:val="00D530AD"/>
    <w:rsid w:val="00D5489D"/>
    <w:rsid w:val="00D61F99"/>
    <w:rsid w:val="00D637FE"/>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purl.org/dc/dcmitype/"/>
    <ds:schemaRef ds:uri="7bfac331-6491-43dd-bc6d-bdc4cd8edf12"/>
    <ds:schemaRef ds:uri="http://schemas.microsoft.com/office/2006/documentManagement/types"/>
    <ds:schemaRef ds:uri="http://purl.org/dc/elements/1.1/"/>
    <ds:schemaRef ds:uri="http://schemas.microsoft.com/office/2006/metadata/properties"/>
    <ds:schemaRef ds:uri="54ff7182-8e24-4ca8-8af8-4b91a2cd4597"/>
    <ds:schemaRef ds:uri="http://schemas.microsoft.com/office/infopath/2007/PartnerControls"/>
    <ds:schemaRef ds:uri="http://www.w3.org/XML/1998/namespace"/>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40853A3A-6517-47FB-AF26-477F6418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3</cp:revision>
  <cp:lastPrinted>2020-06-15T20:18:00Z</cp:lastPrinted>
  <dcterms:created xsi:type="dcterms:W3CDTF">2021-02-14T23:09:00Z</dcterms:created>
  <dcterms:modified xsi:type="dcterms:W3CDTF">2021-02-14T23:10:00Z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