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73EE698A" w14:textId="16E012D8" w:rsidR="00EC07ED" w:rsidRPr="00CB7E54" w:rsidRDefault="00EC07ED" w:rsidP="00B91613">
      <w:pPr>
        <w:pStyle w:val="NoSpacing"/>
        <w:rPr>
          <w:rFonts w:ascii="Arial" w:hAnsi="Arial" w:cs="Arial"/>
          <w:sz w:val="18"/>
          <w:szCs w:val="18"/>
        </w:rPr>
      </w:pPr>
      <w:r w:rsidRPr="00CB7E54">
        <w:rPr>
          <w:rFonts w:ascii="Arial" w:hAnsi="Arial" w:cs="Arial"/>
          <w:sz w:val="18"/>
          <w:szCs w:val="18"/>
        </w:rPr>
        <w:t>Date Revised, by: (07/2</w:t>
      </w:r>
      <w:r w:rsidR="00E33EF8" w:rsidRPr="00CB7E54">
        <w:rPr>
          <w:rFonts w:ascii="Arial" w:hAnsi="Arial" w:cs="Arial"/>
          <w:sz w:val="18"/>
          <w:szCs w:val="18"/>
        </w:rPr>
        <w:t>7</w:t>
      </w:r>
      <w:r w:rsidRPr="00CB7E54">
        <w:rPr>
          <w:rFonts w:ascii="Arial" w:hAnsi="Arial" w:cs="Arial"/>
          <w:sz w:val="18"/>
          <w:szCs w:val="18"/>
        </w:rPr>
        <w:t>/21,</w:t>
      </w:r>
      <w:r w:rsidR="00E33EF8" w:rsidRPr="00CB7E54">
        <w:rPr>
          <w:rFonts w:ascii="Arial" w:hAnsi="Arial" w:cs="Arial"/>
          <w:sz w:val="18"/>
          <w:szCs w:val="18"/>
        </w:rPr>
        <w:t xml:space="preserve"> AS</w:t>
      </w:r>
      <w:r w:rsidRPr="00CB7E54">
        <w:rPr>
          <w:rFonts w:ascii="Arial" w:hAnsi="Arial" w:cs="Arial"/>
          <w:sz w:val="18"/>
          <w:szCs w:val="18"/>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C213E42" w:rsidR="008F666B" w:rsidRPr="00653267" w:rsidRDefault="00D93B5D" w:rsidP="004A7DE7">
            <w:pPr>
              <w:spacing w:beforeLines="80" w:before="192" w:afterLines="80" w:after="192"/>
              <w:jc w:val="center"/>
              <w:rPr>
                <w:b/>
                <w:color w:val="000000"/>
              </w:rPr>
            </w:pPr>
            <w:r w:rsidRPr="00D4380D">
              <w:t>December 1, 2020 - November 30,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1"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57B49A7D"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D4380D" w:rsidRPr="00D4380D">
              <w:rPr>
                <w:b/>
                <w:bCs/>
              </w:rPr>
              <w:t>November 30,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E2CAF87" w:rsidR="008F666B" w:rsidRPr="00653267" w:rsidRDefault="007F34AF" w:rsidP="004A7DE7">
            <w:pPr>
              <w:spacing w:beforeLines="80" w:before="192" w:afterLines="80" w:after="192"/>
              <w:jc w:val="center"/>
              <w:rPr>
                <w:b/>
                <w:color w:val="000000"/>
              </w:rPr>
            </w:pPr>
            <w:r w:rsidRPr="007F34AF">
              <w:t>December 1, 2021 - November 30,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5"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49BC3" w14:textId="77777777" w:rsidR="00520B87" w:rsidRDefault="00520B87" w:rsidP="00B91613">
      <w:r>
        <w:separator/>
      </w:r>
    </w:p>
  </w:endnote>
  <w:endnote w:type="continuationSeparator" w:id="0">
    <w:p w14:paraId="19582623" w14:textId="77777777" w:rsidR="00520B87" w:rsidRDefault="00520B8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C6038" w14:textId="77777777" w:rsidR="00520B87" w:rsidRDefault="00520B87" w:rsidP="00B91613">
      <w:r>
        <w:separator/>
      </w:r>
    </w:p>
  </w:footnote>
  <w:footnote w:type="continuationSeparator" w:id="0">
    <w:p w14:paraId="7FE0C0DC" w14:textId="77777777" w:rsidR="00520B87" w:rsidRDefault="00520B87"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520B87"/>
    <w:rsid w:val="005A0A3C"/>
    <w:rsid w:val="005A29EC"/>
    <w:rsid w:val="005B2EF8"/>
    <w:rsid w:val="00605E35"/>
    <w:rsid w:val="006C36E7"/>
    <w:rsid w:val="006D305D"/>
    <w:rsid w:val="0076545A"/>
    <w:rsid w:val="007A2572"/>
    <w:rsid w:val="007A2C26"/>
    <w:rsid w:val="007D27B2"/>
    <w:rsid w:val="007E2685"/>
    <w:rsid w:val="007F0FB6"/>
    <w:rsid w:val="007F34AF"/>
    <w:rsid w:val="007F5B43"/>
    <w:rsid w:val="0085100F"/>
    <w:rsid w:val="008651C9"/>
    <w:rsid w:val="00873E37"/>
    <w:rsid w:val="00873F5F"/>
    <w:rsid w:val="00886BCC"/>
    <w:rsid w:val="008B08E8"/>
    <w:rsid w:val="008E71B5"/>
    <w:rsid w:val="008F666B"/>
    <w:rsid w:val="00906381"/>
    <w:rsid w:val="009437DB"/>
    <w:rsid w:val="009641DB"/>
    <w:rsid w:val="009872C8"/>
    <w:rsid w:val="009A508D"/>
    <w:rsid w:val="009A5C45"/>
    <w:rsid w:val="009A7671"/>
    <w:rsid w:val="00A025F6"/>
    <w:rsid w:val="00A13992"/>
    <w:rsid w:val="00A35842"/>
    <w:rsid w:val="00AC4F52"/>
    <w:rsid w:val="00AE6008"/>
    <w:rsid w:val="00B00087"/>
    <w:rsid w:val="00B06A95"/>
    <w:rsid w:val="00B3444E"/>
    <w:rsid w:val="00B91613"/>
    <w:rsid w:val="00BA0568"/>
    <w:rsid w:val="00CB7E54"/>
    <w:rsid w:val="00CD54CE"/>
    <w:rsid w:val="00D4380D"/>
    <w:rsid w:val="00D85E05"/>
    <w:rsid w:val="00D93B5D"/>
    <w:rsid w:val="00DA1340"/>
    <w:rsid w:val="00DA4D78"/>
    <w:rsid w:val="00DF7A73"/>
    <w:rsid w:val="00E244DE"/>
    <w:rsid w:val="00E33EF8"/>
    <w:rsid w:val="00E6057A"/>
    <w:rsid w:val="00E725EB"/>
    <w:rsid w:val="00E768B3"/>
    <w:rsid w:val="00EA54C0"/>
    <w:rsid w:val="00EB15FA"/>
    <w:rsid w:val="00EC07ED"/>
    <w:rsid w:val="00EE2B67"/>
    <w:rsid w:val="00EE71BC"/>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A125D6E3-A016-4670-B4A3-9005972E2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4.xml><?xml version="1.0" encoding="utf-8"?>
<ds:datastoreItem xmlns:ds="http://schemas.openxmlformats.org/officeDocument/2006/customXml" ds:itemID="{5ED8E510-351A-49C0-A6BE-53D70B7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12</cp:revision>
  <dcterms:created xsi:type="dcterms:W3CDTF">2021-07-23T18:45:00Z</dcterms:created>
  <dcterms:modified xsi:type="dcterms:W3CDTF">2021-07-29T18:05:00Z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