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20D2DC1A" w:rsidR="00506E1F" w:rsidRPr="00366DB1" w:rsidRDefault="00446DB0" w:rsidP="00506E1F">
      <w:pPr>
        <w:rPr>
          <w:rFonts w:ascii="Arial" w:hAnsi="Arial" w:cs="Arial"/>
          <w:sz w:val="20"/>
        </w:rPr>
      </w:pPr>
      <w:r>
        <w:rPr>
          <w:noProof/>
        </w:rPr>
        <w:drawing>
          <wp:anchor distT="0" distB="0" distL="114300" distR="114300" simplePos="0" relativeHeight="251658240" behindDoc="0" locked="0" layoutInCell="1" allowOverlap="1" wp14:anchorId="226F3465" wp14:editId="6876D5F4">
            <wp:simplePos x="0" y="0"/>
            <wp:positionH relativeFrom="column">
              <wp:posOffset>2238299</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sidRPr="00366DB1">
        <w:rPr>
          <w:rFonts w:ascii="Arial" w:hAnsi="Arial" w:cs="Arial"/>
          <w:spacing w:val="74"/>
          <w:sz w:val="20"/>
        </w:rPr>
        <w:t xml:space="preserve"> </w:t>
      </w:r>
      <w:r w:rsidR="00506E1F"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Arial" w:hAnsi="Arial" w:cs="Arial"/>
          <w:spacing w:val="74"/>
          <w:sz w:val="20"/>
        </w:rPr>
        <w:t xml:space="preserve"> </w:t>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4"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6"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7"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4D645F0A"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523C3A">
        <w:rPr>
          <w:rFonts w:ascii="Arial" w:eastAsiaTheme="majorEastAsia" w:hAnsi="Arial" w:cs="Arial"/>
        </w:rPr>
        <w:t>1</w:t>
      </w:r>
      <w:r w:rsidR="00E1155C">
        <w:rPr>
          <w:rFonts w:ascii="Arial" w:eastAsiaTheme="majorEastAsia" w:hAnsi="Arial" w:cs="Arial"/>
        </w:rPr>
        <w:t>/1/202</w:t>
      </w:r>
      <w:r w:rsidR="00A3062D">
        <w:rPr>
          <w:rFonts w:ascii="Arial" w:eastAsiaTheme="majorEastAsia" w:hAnsi="Arial" w:cs="Arial"/>
        </w:rPr>
        <w:t>1</w:t>
      </w:r>
      <w:r w:rsidR="00E1155C">
        <w:rPr>
          <w:rFonts w:ascii="Arial" w:eastAsiaTheme="majorEastAsia" w:hAnsi="Arial" w:cs="Arial"/>
        </w:rPr>
        <w:t xml:space="preserve">– </w:t>
      </w:r>
      <w:r w:rsidR="00877A15">
        <w:rPr>
          <w:rFonts w:ascii="Arial" w:eastAsiaTheme="majorEastAsia" w:hAnsi="Arial" w:cs="Arial"/>
        </w:rPr>
        <w:t>1</w:t>
      </w:r>
      <w:r w:rsidR="00A3062D">
        <w:rPr>
          <w:rFonts w:ascii="Arial" w:eastAsiaTheme="majorEastAsia" w:hAnsi="Arial" w:cs="Arial"/>
        </w:rPr>
        <w:t>2</w:t>
      </w:r>
      <w:r w:rsidR="00E1155C">
        <w:rPr>
          <w:rFonts w:ascii="Arial" w:eastAsiaTheme="majorEastAsia" w:hAnsi="Arial" w:cs="Arial"/>
        </w:rPr>
        <w:t>/3</w:t>
      </w:r>
      <w:r w:rsidR="00877A15">
        <w:rPr>
          <w:rFonts w:ascii="Arial" w:eastAsiaTheme="majorEastAsia" w:hAnsi="Arial" w:cs="Arial"/>
        </w:rPr>
        <w:t>1</w:t>
      </w:r>
      <w:r w:rsidR="00E1155C">
        <w:rPr>
          <w:rFonts w:ascii="Arial" w:eastAsiaTheme="majorEastAsia" w:hAnsi="Arial" w:cs="Arial"/>
        </w:rPr>
        <w:t xml:space="preserve">/2021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8"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9"/>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B830F" w14:textId="77777777" w:rsidR="00785F03" w:rsidRDefault="00785F03" w:rsidP="0061428E">
      <w:pPr>
        <w:spacing w:after="0" w:line="240" w:lineRule="auto"/>
      </w:pPr>
      <w:r>
        <w:separator/>
      </w:r>
    </w:p>
  </w:endnote>
  <w:endnote w:type="continuationSeparator" w:id="0">
    <w:p w14:paraId="10EB39FB" w14:textId="77777777" w:rsidR="00785F03" w:rsidRDefault="00785F03"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E4233" w14:textId="77777777" w:rsidR="00785F03" w:rsidRDefault="00785F03" w:rsidP="0061428E">
      <w:pPr>
        <w:spacing w:after="0" w:line="240" w:lineRule="auto"/>
      </w:pPr>
      <w:r>
        <w:separator/>
      </w:r>
    </w:p>
  </w:footnote>
  <w:footnote w:type="continuationSeparator" w:id="0">
    <w:p w14:paraId="1EB342B9" w14:textId="77777777" w:rsidR="00785F03" w:rsidRDefault="00785F03"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E1B1D"/>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6DB0"/>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5F03"/>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77A15"/>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7EA5"/>
    <w:rsid w:val="009F5B37"/>
    <w:rsid w:val="009F67E3"/>
    <w:rsid w:val="009F7E72"/>
    <w:rsid w:val="00A01C84"/>
    <w:rsid w:val="00A04EF4"/>
    <w:rsid w:val="00A052D2"/>
    <w:rsid w:val="00A163F2"/>
    <w:rsid w:val="00A17AB3"/>
    <w:rsid w:val="00A22962"/>
    <w:rsid w:val="00A3062D"/>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2013-10-24T16:26:00Z</cp:lastPrinted>
  <dcterms:created xsi:type="dcterms:W3CDTF">2021-08-27T17:12:00Z</dcterms:created>
  <dcterms:modified xsi:type="dcterms:W3CDTF">2021-08-27T17:12:00Z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