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3F9674C0"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553355">
        <w:rPr>
          <w:rFonts w:ascii="Arial" w:hAnsi="Arial" w:cs="Arial"/>
        </w:rPr>
        <w:t xml:space="preserve"> </w:t>
      </w:r>
      <w:r w:rsidR="00AA127D">
        <w:rPr>
          <w:rFonts w:ascii="Arial" w:hAnsi="Arial" w:cs="Arial"/>
        </w:rPr>
        <w:t>March</w:t>
      </w:r>
      <w:r w:rsidR="004464E9" w:rsidRPr="004464E9">
        <w:rPr>
          <w:rFonts w:ascii="Arial" w:hAnsi="Arial" w:cs="Arial"/>
        </w:rPr>
        <w:t xml:space="preserve"> 1, 2022</w:t>
      </w:r>
      <w:r w:rsidRPr="004464E9">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BAAD0EE" w:rsidR="004222E2" w:rsidRDefault="00AA127D">
            <w:pPr>
              <w:spacing w:beforeLines="80" w:before="192" w:afterLines="80" w:after="192" w:line="240" w:lineRule="auto"/>
              <w:jc w:val="center"/>
              <w:rPr>
                <w:rFonts w:ascii="Arial" w:hAnsi="Arial" w:cs="Arial"/>
                <w:b/>
                <w:color w:val="000000"/>
              </w:rPr>
            </w:pPr>
            <w:r>
              <w:rPr>
                <w:rFonts w:ascii="Arial" w:hAnsi="Arial" w:cs="Arial"/>
              </w:rPr>
              <w:t>March</w:t>
            </w:r>
            <w:r w:rsidR="004464E9" w:rsidRPr="004464E9">
              <w:rPr>
                <w:rFonts w:ascii="Arial" w:hAnsi="Arial" w:cs="Arial"/>
              </w:rPr>
              <w:t xml:space="preserve"> 1, 2021 </w:t>
            </w:r>
            <w:r>
              <w:rPr>
                <w:rFonts w:ascii="Arial" w:hAnsi="Arial" w:cs="Arial"/>
              </w:rPr>
              <w:t>–</w:t>
            </w:r>
            <w:r w:rsidR="004464E9" w:rsidRPr="004464E9">
              <w:rPr>
                <w:rFonts w:ascii="Arial" w:hAnsi="Arial" w:cs="Arial"/>
              </w:rPr>
              <w:t xml:space="preserve"> </w:t>
            </w:r>
            <w:r>
              <w:rPr>
                <w:rFonts w:ascii="Arial" w:hAnsi="Arial" w:cs="Arial"/>
              </w:rPr>
              <w:t>February 28</w:t>
            </w:r>
            <w:r w:rsidR="004464E9" w:rsidRPr="004464E9">
              <w:rPr>
                <w:rFonts w:ascii="Arial" w:hAnsi="Arial" w:cs="Arial"/>
              </w:rPr>
              <w:t>, 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6DE2DA3B"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r w:rsidR="00AA127D">
              <w:rPr>
                <w:rFonts w:ascii="Arial" w:eastAsia="Arial" w:hAnsi="Arial" w:cs="Arial"/>
              </w:rPr>
              <w:t>February 28</w:t>
            </w:r>
            <w:r w:rsidR="00842799" w:rsidRPr="00842799">
              <w:rPr>
                <w:rFonts w:ascii="Arial" w:hAnsi="Arial" w:cs="Arial"/>
              </w:rPr>
              <w:t>, 2022</w:t>
            </w:r>
            <w:r w:rsidRPr="00842799">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B845919" w:rsidR="004222E2" w:rsidRDefault="00AA127D">
            <w:pPr>
              <w:spacing w:beforeLines="80" w:before="192" w:afterLines="80" w:after="192" w:line="240" w:lineRule="auto"/>
              <w:jc w:val="center"/>
              <w:rPr>
                <w:rFonts w:ascii="Arial" w:hAnsi="Arial" w:cs="Arial"/>
                <w:b/>
                <w:color w:val="000000"/>
              </w:rPr>
            </w:pPr>
            <w:r>
              <w:rPr>
                <w:rFonts w:ascii="Arial" w:hAnsi="Arial" w:cs="Arial"/>
              </w:rPr>
              <w:t>March</w:t>
            </w:r>
            <w:r w:rsidR="00842799" w:rsidRPr="00842799">
              <w:rPr>
                <w:rFonts w:ascii="Arial" w:hAnsi="Arial" w:cs="Arial"/>
              </w:rPr>
              <w:t xml:space="preserve"> 1, 2022 </w:t>
            </w:r>
            <w:r>
              <w:rPr>
                <w:rFonts w:ascii="Arial" w:hAnsi="Arial" w:cs="Arial"/>
              </w:rPr>
              <w:t>–</w:t>
            </w:r>
            <w:r w:rsidR="00842799" w:rsidRPr="00842799">
              <w:rPr>
                <w:rFonts w:ascii="Arial" w:hAnsi="Arial" w:cs="Arial"/>
              </w:rPr>
              <w:t xml:space="preserve"> </w:t>
            </w:r>
            <w:r>
              <w:rPr>
                <w:rFonts w:ascii="Arial" w:hAnsi="Arial" w:cs="Arial"/>
              </w:rPr>
              <w:t>February 28</w:t>
            </w:r>
            <w:r w:rsidR="00842799" w:rsidRPr="00842799">
              <w:rPr>
                <w:rFonts w:ascii="Arial" w:hAnsi="Arial" w:cs="Arial"/>
              </w:rPr>
              <w:t>, 2023</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Updating your tax bracket to analyze cost savings</w:t>
      </w:r>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734FAE90"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w:t>
      </w:r>
      <w:r w:rsidRPr="00842799">
        <w:rPr>
          <w:rFonts w:ascii="Arial" w:hAnsi="Arial" w:cs="Arial"/>
        </w:rPr>
        <w:t xml:space="preserve">a Spending </w:t>
      </w:r>
      <w:proofErr w:type="gramStart"/>
      <w:r w:rsidRPr="00842799">
        <w:rPr>
          <w:rFonts w:ascii="Arial" w:hAnsi="Arial" w:cs="Arial"/>
        </w:rPr>
        <w:t>Account  by</w:t>
      </w:r>
      <w:proofErr w:type="gramEnd"/>
      <w:r w:rsidRPr="00842799">
        <w:rPr>
          <w:rFonts w:ascii="Arial" w:hAnsi="Arial" w:cs="Arial"/>
        </w:rPr>
        <w:t xml:space="preserve"> WageWorks debit card, </w:t>
      </w:r>
      <w:r w:rsidR="6870470C" w:rsidRPr="00842799">
        <w:rPr>
          <w:rFonts w:ascii="Arial" w:hAnsi="Arial" w:cs="Arial"/>
        </w:rPr>
        <w:t xml:space="preserve">the FSA balance </w:t>
      </w:r>
      <w:r w:rsidRPr="00842799">
        <w:rPr>
          <w:rFonts w:ascii="Arial" w:hAnsi="Arial" w:cs="Arial"/>
        </w:rPr>
        <w:t>will remain active through</w:t>
      </w:r>
      <w:r w:rsidR="00553355" w:rsidRPr="00842799">
        <w:rPr>
          <w:rFonts w:ascii="Arial" w:hAnsi="Arial" w:cs="Arial"/>
        </w:rPr>
        <w:t xml:space="preserve"> </w:t>
      </w:r>
      <w:r w:rsidR="00C431BC">
        <w:rPr>
          <w:rFonts w:ascii="Arial" w:hAnsi="Arial" w:cs="Arial"/>
        </w:rPr>
        <w:t>February 28</w:t>
      </w:r>
      <w:r w:rsidR="00842799" w:rsidRPr="00842799">
        <w:rPr>
          <w:rFonts w:ascii="Arial" w:hAnsi="Arial" w:cs="Arial"/>
        </w:rPr>
        <w:t>, 2022</w:t>
      </w:r>
      <w:r w:rsidRPr="00842799">
        <w:rPr>
          <w:rFonts w:ascii="Arial" w:hAnsi="Arial" w:cs="Arial"/>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HealthEquity/WageWorks</w:t>
      </w:r>
    </w:p>
    <w:p w14:paraId="7B40FD82" w14:textId="2B79F6AB" w:rsidR="20EC6CFC" w:rsidRDefault="20EC6CFC" w:rsidP="20EC6CFC">
      <w:pPr>
        <w:pStyle w:val="Default"/>
        <w:rPr>
          <w:rFonts w:ascii="Arial" w:hAnsi="Arial" w:cs="Arial"/>
          <w:color w:val="000000" w:themeColor="text1"/>
          <w:sz w:val="22"/>
          <w:szCs w:val="22"/>
        </w:rPr>
      </w:pPr>
    </w:p>
    <w:p w14:paraId="28F443BB" w14:textId="051FAC92" w:rsidR="00294094" w:rsidRPr="00B4035C" w:rsidRDefault="00294094" w:rsidP="00842799">
      <w:pPr>
        <w:spacing w:after="0" w:line="240" w:lineRule="auto"/>
        <w:rPr>
          <w:rFonts w:ascii="Arial" w:hAnsi="Arial" w:cs="Arial"/>
          <w:color w:val="000000" w:themeColor="text1"/>
        </w:rPr>
      </w:pPr>
      <w:r w:rsidRPr="002930FD">
        <w:rPr>
          <w:rFonts w:ascii="Arial" w:eastAsia="Times New Roman" w:hAnsi="Arial" w:cs="Arial"/>
          <w:color w:val="000000"/>
          <w:sz w:val="16"/>
          <w:szCs w:val="16"/>
        </w:rPr>
        <w:t>1. This card is issued by The Bancorp Bank; member FDIC pursuant to a license from Visa U.S.A. Inc. Your card can be used everywhere Visa debit cards are accepted for qualified expenses. This card cannot be used at ATMs and you cannot get cash back, and cannot be used at gas stations, restaurants, or other establishments not health related. See Cardholder Agreement for complete usage restrictions.</w:t>
      </w: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E0024" w14:textId="77777777" w:rsidR="005931AE" w:rsidRDefault="005931AE" w:rsidP="0061428E">
      <w:pPr>
        <w:spacing w:after="0" w:line="240" w:lineRule="auto"/>
      </w:pPr>
      <w:r>
        <w:separator/>
      </w:r>
    </w:p>
  </w:endnote>
  <w:endnote w:type="continuationSeparator" w:id="0">
    <w:p w14:paraId="3F697934" w14:textId="77777777" w:rsidR="005931AE" w:rsidRDefault="005931AE" w:rsidP="0061428E">
      <w:pPr>
        <w:spacing w:after="0" w:line="240" w:lineRule="auto"/>
      </w:pPr>
      <w:r>
        <w:continuationSeparator/>
      </w:r>
    </w:p>
  </w:endnote>
  <w:endnote w:type="continuationNotice" w:id="1">
    <w:p w14:paraId="7130EC16" w14:textId="77777777" w:rsidR="005931AE" w:rsidRDefault="00593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45BDF" w14:textId="77777777" w:rsidR="005931AE" w:rsidRDefault="005931AE" w:rsidP="0061428E">
      <w:pPr>
        <w:spacing w:after="0" w:line="240" w:lineRule="auto"/>
      </w:pPr>
      <w:r>
        <w:separator/>
      </w:r>
    </w:p>
  </w:footnote>
  <w:footnote w:type="continuationSeparator" w:id="0">
    <w:p w14:paraId="34CB4DC5" w14:textId="77777777" w:rsidR="005931AE" w:rsidRDefault="005931AE" w:rsidP="0061428E">
      <w:pPr>
        <w:spacing w:after="0" w:line="240" w:lineRule="auto"/>
      </w:pPr>
      <w:r>
        <w:continuationSeparator/>
      </w:r>
    </w:p>
  </w:footnote>
  <w:footnote w:type="continuationNotice" w:id="1">
    <w:p w14:paraId="40E2AD29" w14:textId="77777777" w:rsidR="005931AE" w:rsidRDefault="005931AE">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57E41"/>
    <w:rsid w:val="00061E9D"/>
    <w:rsid w:val="00074415"/>
    <w:rsid w:val="000749E0"/>
    <w:rsid w:val="00076F20"/>
    <w:rsid w:val="00081E47"/>
    <w:rsid w:val="000842C4"/>
    <w:rsid w:val="000915A8"/>
    <w:rsid w:val="00093753"/>
    <w:rsid w:val="0009407B"/>
    <w:rsid w:val="000969EE"/>
    <w:rsid w:val="000A792D"/>
    <w:rsid w:val="000B5207"/>
    <w:rsid w:val="000C1FA3"/>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0D2C"/>
    <w:rsid w:val="001B69FB"/>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0067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64E9"/>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23E8"/>
    <w:rsid w:val="00517A30"/>
    <w:rsid w:val="00532388"/>
    <w:rsid w:val="005341F4"/>
    <w:rsid w:val="00534A55"/>
    <w:rsid w:val="00553355"/>
    <w:rsid w:val="00557747"/>
    <w:rsid w:val="00562896"/>
    <w:rsid w:val="00563A42"/>
    <w:rsid w:val="00570749"/>
    <w:rsid w:val="00577E4C"/>
    <w:rsid w:val="00582C18"/>
    <w:rsid w:val="005931AE"/>
    <w:rsid w:val="00595841"/>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11A8"/>
    <w:rsid w:val="006F19F5"/>
    <w:rsid w:val="006F659F"/>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4416"/>
    <w:rsid w:val="00836753"/>
    <w:rsid w:val="00842799"/>
    <w:rsid w:val="00844E77"/>
    <w:rsid w:val="008453A9"/>
    <w:rsid w:val="008520CE"/>
    <w:rsid w:val="008524BC"/>
    <w:rsid w:val="008609FD"/>
    <w:rsid w:val="00863490"/>
    <w:rsid w:val="00872F8E"/>
    <w:rsid w:val="00885F60"/>
    <w:rsid w:val="008A1D7F"/>
    <w:rsid w:val="008B20D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062E"/>
    <w:rsid w:val="00956C6A"/>
    <w:rsid w:val="00956F56"/>
    <w:rsid w:val="00970830"/>
    <w:rsid w:val="009722CC"/>
    <w:rsid w:val="009730C4"/>
    <w:rsid w:val="00976E0A"/>
    <w:rsid w:val="00980829"/>
    <w:rsid w:val="0099152E"/>
    <w:rsid w:val="0099694E"/>
    <w:rsid w:val="009A3887"/>
    <w:rsid w:val="009B0D20"/>
    <w:rsid w:val="009C0FB4"/>
    <w:rsid w:val="009C4C28"/>
    <w:rsid w:val="009D04F7"/>
    <w:rsid w:val="009E4F2E"/>
    <w:rsid w:val="009E5F79"/>
    <w:rsid w:val="009F3769"/>
    <w:rsid w:val="009F4EAA"/>
    <w:rsid w:val="009F5B37"/>
    <w:rsid w:val="009F67C9"/>
    <w:rsid w:val="009F7E72"/>
    <w:rsid w:val="00A01C84"/>
    <w:rsid w:val="00A04EF4"/>
    <w:rsid w:val="00A052D2"/>
    <w:rsid w:val="00A163F2"/>
    <w:rsid w:val="00A17AB3"/>
    <w:rsid w:val="00A22962"/>
    <w:rsid w:val="00A37F1C"/>
    <w:rsid w:val="00A41D4A"/>
    <w:rsid w:val="00A65A89"/>
    <w:rsid w:val="00A66C25"/>
    <w:rsid w:val="00A7592D"/>
    <w:rsid w:val="00A966A6"/>
    <w:rsid w:val="00AA127D"/>
    <w:rsid w:val="00AA12A2"/>
    <w:rsid w:val="00AA251B"/>
    <w:rsid w:val="00AA6BB7"/>
    <w:rsid w:val="00AC0BC8"/>
    <w:rsid w:val="00AC3817"/>
    <w:rsid w:val="00AD1090"/>
    <w:rsid w:val="00AD512B"/>
    <w:rsid w:val="00AF1230"/>
    <w:rsid w:val="00AF6143"/>
    <w:rsid w:val="00B06650"/>
    <w:rsid w:val="00B1565A"/>
    <w:rsid w:val="00B15E07"/>
    <w:rsid w:val="00B2111D"/>
    <w:rsid w:val="00B23F7F"/>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25317"/>
    <w:rsid w:val="00C2551D"/>
    <w:rsid w:val="00C431BC"/>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A6C03"/>
    <w:rsid w:val="00DC0D29"/>
    <w:rsid w:val="00DC5A2D"/>
    <w:rsid w:val="00DD196B"/>
    <w:rsid w:val="00DD244C"/>
    <w:rsid w:val="00DD35FD"/>
    <w:rsid w:val="00DF4488"/>
    <w:rsid w:val="00E02266"/>
    <w:rsid w:val="00E06BCB"/>
    <w:rsid w:val="00E176D9"/>
    <w:rsid w:val="00E22E01"/>
    <w:rsid w:val="00E31221"/>
    <w:rsid w:val="00E32B98"/>
    <w:rsid w:val="00E32D53"/>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01D87"/>
    <w:rsid w:val="00F126A0"/>
    <w:rsid w:val="00F206A7"/>
    <w:rsid w:val="00F24424"/>
    <w:rsid w:val="00F33235"/>
    <w:rsid w:val="00F35A75"/>
    <w:rsid w:val="00F440B0"/>
    <w:rsid w:val="00F655D5"/>
    <w:rsid w:val="00F703D6"/>
    <w:rsid w:val="00F76875"/>
    <w:rsid w:val="00F85F3E"/>
    <w:rsid w:val="00F869AB"/>
    <w:rsid w:val="00FA41F7"/>
    <w:rsid w:val="00FA7A31"/>
    <w:rsid w:val="00FB5B49"/>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41203631">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00668343">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5703086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695186496">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7336097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C6970-4CF2-42A3-98CE-717C55576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1148</Words>
  <Characters>6549</Characters>
  <Application>Microsoft Office Word</Application>
  <DocSecurity>0</DocSecurity>
  <Lines>54</Lines>
  <Paragraphs>15</Paragraphs>
  <ScaleCrop>false</ScaleCrop>
  <Company>Lenovo</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2020-06-15T20:18:00Z</cp:lastPrinted>
  <dcterms:created xsi:type="dcterms:W3CDTF">2021-07-23T19:15:00Z</dcterms:created>
  <dcterms:modified xsi:type="dcterms:W3CDTF">2021-10-26T21:57:00Z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y fmtid="{D5CDD505-2E9C-101B-9397-08002B2CF9AE}" pid="13" name="ComplianceAssetId">
    <vt:lpwstr/>
  </property>
  <property fmtid="{D5CDD505-2E9C-101B-9397-08002B2CF9AE}" pid="14" name="_ExtendedDescription">
    <vt:lpwstr/>
  </property>
  <property fmtid="{D5CDD505-2E9C-101B-9397-08002B2CF9AE}" pid="15" name="Order">
    <vt:r8>2184800</vt:r8>
  </property>
  <property fmtid="{D5CDD505-2E9C-101B-9397-08002B2CF9AE}" pid="16" name="TriggerFlowInfo">
    <vt:lpwstr/>
  </property>
</Properties>
</file>