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1A2C8A31"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2500DF">
        <w:rPr>
          <w:rFonts w:ascii="Arial" w:hAnsi="Arial" w:cs="Arial"/>
        </w:rPr>
        <w:t xml:space="preserve">of </w:t>
      </w:r>
      <w:r w:rsidR="009A6608">
        <w:rPr>
          <w:rFonts w:ascii="Arial" w:hAnsi="Arial" w:cs="Arial"/>
        </w:rPr>
        <w:t>April</w:t>
      </w:r>
      <w:r w:rsidR="00DA78DF" w:rsidRPr="002500DF">
        <w:rPr>
          <w:rFonts w:ascii="Arial" w:hAnsi="Arial" w:cs="Arial"/>
        </w:rPr>
        <w:t xml:space="preserve"> 1, 2022</w:t>
      </w:r>
      <w:r w:rsidR="000E30A2" w:rsidRPr="002500D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254DA5AE" w:rsidR="00EB17A0" w:rsidRPr="00EB17A0" w:rsidRDefault="009A6608" w:rsidP="00EB17A0">
            <w:pPr>
              <w:spacing w:beforeLines="80" w:before="192" w:afterLines="80" w:after="192" w:line="240" w:lineRule="auto"/>
              <w:jc w:val="center"/>
              <w:rPr>
                <w:rFonts w:ascii="Arial" w:eastAsiaTheme="majorEastAsia" w:hAnsi="Arial" w:cs="Arial"/>
              </w:rPr>
            </w:pPr>
            <w:r>
              <w:rPr>
                <w:rFonts w:ascii="Arial" w:hAnsi="Arial" w:cs="Arial"/>
              </w:rPr>
              <w:t>April</w:t>
            </w:r>
            <w:r w:rsidR="003D744A" w:rsidRPr="003D744A">
              <w:rPr>
                <w:rFonts w:ascii="Arial" w:hAnsi="Arial" w:cs="Arial"/>
              </w:rPr>
              <w:t xml:space="preserve"> 1, 2021 </w:t>
            </w:r>
            <w:r w:rsidR="001657C6">
              <w:rPr>
                <w:rFonts w:ascii="Arial" w:hAnsi="Arial" w:cs="Arial"/>
              </w:rPr>
              <w:t>–</w:t>
            </w:r>
            <w:r w:rsidR="003D744A" w:rsidRPr="003D744A">
              <w:rPr>
                <w:rFonts w:ascii="Arial" w:hAnsi="Arial" w:cs="Arial"/>
              </w:rPr>
              <w:t xml:space="preserve"> </w:t>
            </w:r>
            <w:r>
              <w:rPr>
                <w:rFonts w:ascii="Arial" w:hAnsi="Arial" w:cs="Arial"/>
              </w:rPr>
              <w:t>March 31</w:t>
            </w:r>
            <w:r w:rsidR="003D744A" w:rsidRPr="003D744A">
              <w:rPr>
                <w:rFonts w:ascii="Arial" w:hAnsi="Arial" w:cs="Arial"/>
              </w:rPr>
              <w:t>, 2022</w:t>
            </w: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1E58BEFE"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9A6608">
              <w:rPr>
                <w:rFonts w:ascii="Arial" w:hAnsi="Arial" w:cs="Arial"/>
              </w:rPr>
              <w:t>March 31</w:t>
            </w:r>
            <w:r w:rsidR="003D744A" w:rsidRPr="003D744A">
              <w:rPr>
                <w:rFonts w:ascii="Arial" w:hAnsi="Arial" w:cs="Arial"/>
              </w:rPr>
              <w:t>, 2022</w:t>
            </w:r>
            <w:r w:rsidR="000E30A2" w:rsidRPr="003D744A">
              <w:rPr>
                <w:rFonts w:ascii="Arial" w:eastAsia="Arial" w:hAnsi="Arial" w:cs="Arial"/>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73859532" w:rsidR="00653267" w:rsidRPr="00653267" w:rsidRDefault="009A6608" w:rsidP="006327BF">
            <w:pPr>
              <w:spacing w:beforeLines="80" w:before="192" w:afterLines="80" w:after="192" w:line="240" w:lineRule="auto"/>
              <w:jc w:val="center"/>
              <w:rPr>
                <w:rFonts w:ascii="Arial" w:hAnsi="Arial" w:cs="Arial"/>
                <w:b/>
                <w:color w:val="000000"/>
              </w:rPr>
            </w:pPr>
            <w:r>
              <w:rPr>
                <w:rFonts w:ascii="Arial" w:hAnsi="Arial" w:cs="Arial"/>
              </w:rPr>
              <w:t>April</w:t>
            </w:r>
            <w:r w:rsidR="003D744A" w:rsidRPr="003D744A">
              <w:rPr>
                <w:rFonts w:ascii="Arial" w:hAnsi="Arial" w:cs="Arial"/>
              </w:rPr>
              <w:t xml:space="preserve"> 1, 2022 </w:t>
            </w:r>
            <w:r w:rsidR="00566D02">
              <w:rPr>
                <w:rFonts w:ascii="Arial" w:hAnsi="Arial" w:cs="Arial"/>
              </w:rPr>
              <w:t>–</w:t>
            </w:r>
            <w:r w:rsidR="003D744A" w:rsidRPr="003D744A">
              <w:rPr>
                <w:rFonts w:ascii="Arial" w:hAnsi="Arial" w:cs="Arial"/>
              </w:rPr>
              <w:t xml:space="preserve"> </w:t>
            </w:r>
            <w:r>
              <w:rPr>
                <w:rFonts w:ascii="Arial" w:hAnsi="Arial" w:cs="Arial"/>
              </w:rPr>
              <w:t>March 31</w:t>
            </w:r>
            <w:r w:rsidR="003D744A" w:rsidRPr="003D744A">
              <w:rPr>
                <w:rFonts w:ascii="Arial" w:hAnsi="Arial" w:cs="Arial"/>
              </w:rPr>
              <w:t>, 2023</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0B6955C0"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9A6608">
        <w:rPr>
          <w:rFonts w:ascii="Arial" w:hAnsi="Arial" w:cs="Arial"/>
        </w:rPr>
        <w:t>March 31</w:t>
      </w:r>
      <w:r w:rsidR="003D744A" w:rsidRPr="003D744A">
        <w:rPr>
          <w:rFonts w:ascii="Arial" w:hAnsi="Arial" w:cs="Arial"/>
        </w:rPr>
        <w:t>, 2022</w:t>
      </w:r>
      <w:r w:rsidR="000E30A2" w:rsidRPr="003D744A">
        <w:rPr>
          <w:rFonts w:ascii="Arial" w:eastAsia="Arial" w:hAnsi="Arial" w:cs="Arial"/>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a="http://schemas.openxmlformats.org/drawingml/2006/main" xmlns:pic="http://schemas.openxmlformats.org/drawingml/2006/picture" xmlns:a14="http://schemas.microsoft.com/office/drawing/2010/main">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C153" w14:textId="77777777" w:rsidR="00F077AB" w:rsidRDefault="00F077AB" w:rsidP="0061428E">
      <w:pPr>
        <w:spacing w:after="0" w:line="240" w:lineRule="auto"/>
      </w:pPr>
      <w:r>
        <w:separator/>
      </w:r>
    </w:p>
  </w:endnote>
  <w:endnote w:type="continuationSeparator" w:id="0">
    <w:p w14:paraId="0509CAA6" w14:textId="77777777" w:rsidR="00F077AB" w:rsidRDefault="00F077AB" w:rsidP="0061428E">
      <w:pPr>
        <w:spacing w:after="0" w:line="240" w:lineRule="auto"/>
      </w:pPr>
      <w:r>
        <w:continuationSeparator/>
      </w:r>
    </w:p>
  </w:endnote>
  <w:endnote w:type="continuationNotice" w:id="1">
    <w:p w14:paraId="6E1366BE" w14:textId="77777777" w:rsidR="00F077AB" w:rsidRDefault="00F07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071FB" w14:textId="77777777" w:rsidR="00F077AB" w:rsidRDefault="00F077AB" w:rsidP="0061428E">
      <w:pPr>
        <w:spacing w:after="0" w:line="240" w:lineRule="auto"/>
      </w:pPr>
      <w:r>
        <w:separator/>
      </w:r>
    </w:p>
  </w:footnote>
  <w:footnote w:type="continuationSeparator" w:id="0">
    <w:p w14:paraId="6FCE1687" w14:textId="77777777" w:rsidR="00F077AB" w:rsidRDefault="00F077AB" w:rsidP="0061428E">
      <w:pPr>
        <w:spacing w:after="0" w:line="240" w:lineRule="auto"/>
      </w:pPr>
      <w:r>
        <w:continuationSeparator/>
      </w:r>
    </w:p>
  </w:footnote>
  <w:footnote w:type="continuationNotice" w:id="1">
    <w:p w14:paraId="3ABC1CE1" w14:textId="77777777" w:rsidR="00F077AB" w:rsidRDefault="00F077AB">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3E0E"/>
    <w:rsid w:val="00056235"/>
    <w:rsid w:val="00061E9D"/>
    <w:rsid w:val="00071E78"/>
    <w:rsid w:val="00074415"/>
    <w:rsid w:val="00081E47"/>
    <w:rsid w:val="000842C4"/>
    <w:rsid w:val="000915A8"/>
    <w:rsid w:val="00093753"/>
    <w:rsid w:val="0009407B"/>
    <w:rsid w:val="000969EE"/>
    <w:rsid w:val="000A143B"/>
    <w:rsid w:val="000A57A4"/>
    <w:rsid w:val="000B5207"/>
    <w:rsid w:val="000B7D5F"/>
    <w:rsid w:val="000D482B"/>
    <w:rsid w:val="000D5597"/>
    <w:rsid w:val="000D55B8"/>
    <w:rsid w:val="000E30A2"/>
    <w:rsid w:val="000F4CA4"/>
    <w:rsid w:val="00104D32"/>
    <w:rsid w:val="001134E9"/>
    <w:rsid w:val="00122DEC"/>
    <w:rsid w:val="001253D2"/>
    <w:rsid w:val="001332B5"/>
    <w:rsid w:val="0013507D"/>
    <w:rsid w:val="00135299"/>
    <w:rsid w:val="00136169"/>
    <w:rsid w:val="00137603"/>
    <w:rsid w:val="00141E01"/>
    <w:rsid w:val="0014270B"/>
    <w:rsid w:val="001443AC"/>
    <w:rsid w:val="001452FD"/>
    <w:rsid w:val="001516DF"/>
    <w:rsid w:val="00152C50"/>
    <w:rsid w:val="00161A86"/>
    <w:rsid w:val="00164960"/>
    <w:rsid w:val="001657C6"/>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500DF"/>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D744A"/>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7747"/>
    <w:rsid w:val="0056073E"/>
    <w:rsid w:val="00562896"/>
    <w:rsid w:val="00563A42"/>
    <w:rsid w:val="00566D02"/>
    <w:rsid w:val="00570749"/>
    <w:rsid w:val="00577E4C"/>
    <w:rsid w:val="00582C18"/>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A6608"/>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A78DF"/>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077AB"/>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D4C63"/>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1712070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294680082">
      <w:bodyDiv w:val="1"/>
      <w:marLeft w:val="0"/>
      <w:marRight w:val="0"/>
      <w:marTop w:val="0"/>
      <w:marBottom w:val="0"/>
      <w:divBdr>
        <w:top w:val="none" w:sz="0" w:space="0" w:color="auto"/>
        <w:left w:val="none" w:sz="0" w:space="0" w:color="auto"/>
        <w:bottom w:val="none" w:sz="0" w:space="0" w:color="auto"/>
        <w:right w:val="none" w:sz="0" w:space="0" w:color="auto"/>
      </w:divBdr>
    </w:div>
    <w:div w:id="136566994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29955526">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87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BF7CFCDB-8C86-486D-8877-8794AA53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1352</Words>
  <Characters>7708</Characters>
  <Application>Microsoft Office Word</Application>
  <DocSecurity>0</DocSecurity>
  <Lines>64</Lines>
  <Paragraphs>18</Paragraphs>
  <ScaleCrop>false</ScaleCrop>
  <Company>Lenovo</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2021-07-28T04:32:00Z</dcterms:created>
  <dcterms:modified xsi:type="dcterms:W3CDTF">2021-11-29T08:24:00Z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