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A492B83"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266E4F">
        <w:rPr>
          <w:rFonts w:ascii="Arial" w:hAnsi="Arial" w:cs="Arial"/>
        </w:rPr>
        <w:t>May</w:t>
      </w:r>
      <w:r w:rsidR="00D01497">
        <w:rPr>
          <w:rFonts w:ascii="Arial" w:hAnsi="Arial" w:cs="Arial"/>
        </w:rPr>
        <w:t xml:space="preserve"> 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7FABB66" w:rsidR="004222E2" w:rsidRDefault="00266E4F">
            <w:pPr>
              <w:spacing w:beforeLines="80" w:before="192" w:afterLines="80" w:after="192" w:line="240" w:lineRule="auto"/>
              <w:jc w:val="center"/>
              <w:rPr>
                <w:rFonts w:ascii="Arial" w:hAnsi="Arial" w:cs="Arial"/>
                <w:b/>
                <w:color w:val="000000"/>
              </w:rPr>
            </w:pPr>
            <w:r>
              <w:rPr>
                <w:rFonts w:ascii="Arial" w:eastAsiaTheme="majorEastAsia" w:hAnsi="Arial" w:cs="Arial"/>
              </w:rPr>
              <w:t>5</w:t>
            </w:r>
            <w:r w:rsidR="00D01497">
              <w:rPr>
                <w:rFonts w:ascii="Arial" w:eastAsiaTheme="majorEastAsia" w:hAnsi="Arial" w:cs="Arial"/>
              </w:rPr>
              <w:t xml:space="preserve">/1/2021 – </w:t>
            </w:r>
            <w:r>
              <w:rPr>
                <w:rFonts w:ascii="Arial" w:eastAsiaTheme="majorEastAsia" w:hAnsi="Arial" w:cs="Arial"/>
              </w:rPr>
              <w:t>4/30</w:t>
            </w:r>
            <w:r w:rsidR="00D01497">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23CA2B40"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266E4F">
              <w:rPr>
                <w:rFonts w:ascii="Arial" w:hAnsi="Arial" w:cs="Arial"/>
              </w:rPr>
              <w:t>4/30</w:t>
            </w:r>
            <w:r w:rsidR="00D01497">
              <w:rPr>
                <w:rFonts w:ascii="Arial" w:hAnsi="Arial" w:cs="Arial"/>
              </w:rPr>
              <w:t>/2022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73178E40" w:rsidR="004222E2" w:rsidRDefault="00266E4F">
            <w:pPr>
              <w:spacing w:beforeLines="80" w:before="192" w:afterLines="80" w:after="192" w:line="240" w:lineRule="auto"/>
              <w:jc w:val="center"/>
              <w:rPr>
                <w:rFonts w:ascii="Arial" w:eastAsiaTheme="majorEastAsia" w:hAnsi="Arial" w:cs="Arial"/>
              </w:rPr>
            </w:pPr>
            <w:r>
              <w:rPr>
                <w:rFonts w:ascii="Arial" w:eastAsiaTheme="majorEastAsia" w:hAnsi="Arial" w:cs="Arial"/>
              </w:rPr>
              <w:t>5</w:t>
            </w:r>
            <w:r w:rsidR="00D01497">
              <w:rPr>
                <w:rFonts w:ascii="Arial" w:eastAsiaTheme="majorEastAsia" w:hAnsi="Arial" w:cs="Arial"/>
              </w:rPr>
              <w:t xml:space="preserve">/1/2022 – </w:t>
            </w:r>
            <w:r>
              <w:rPr>
                <w:rFonts w:ascii="Arial" w:eastAsiaTheme="majorEastAsia" w:hAnsi="Arial" w:cs="Arial"/>
              </w:rPr>
              <w:t>4/30</w:t>
            </w:r>
            <w:r w:rsidR="00D01497">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419AB023"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C21D8E">
              <w:rPr>
                <w:rFonts w:ascii="Arial" w:hAnsi="Arial" w:cs="Arial"/>
              </w:rPr>
              <w:t>-</w:t>
            </w:r>
            <w:r w:rsidRPr="008552C3">
              <w:rPr>
                <w:rFonts w:ascii="Arial" w:hAnsi="Arial" w:cs="Arial"/>
              </w:rPr>
              <w:t>of</w:t>
            </w:r>
            <w:r w:rsidR="00C21D8E">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0ABFA4B4"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C715C6">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AE4F153"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266E4F">
        <w:rPr>
          <w:rFonts w:ascii="Arial" w:hAnsi="Arial" w:cs="Arial"/>
        </w:rPr>
        <w:t>4/30</w:t>
      </w:r>
      <w:r w:rsidR="00D01497">
        <w:rPr>
          <w:rFonts w:ascii="Arial" w:hAnsi="Arial" w:cs="Arial"/>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4EBF" w14:textId="77777777" w:rsidR="009E5A0C" w:rsidRDefault="009E5A0C" w:rsidP="0061428E">
      <w:pPr>
        <w:spacing w:after="0" w:line="240" w:lineRule="auto"/>
      </w:pPr>
      <w:r>
        <w:separator/>
      </w:r>
    </w:p>
  </w:endnote>
  <w:endnote w:type="continuationSeparator" w:id="0">
    <w:p w14:paraId="65A25A78" w14:textId="77777777" w:rsidR="009E5A0C" w:rsidRDefault="009E5A0C" w:rsidP="0061428E">
      <w:pPr>
        <w:spacing w:after="0" w:line="240" w:lineRule="auto"/>
      </w:pPr>
      <w:r>
        <w:continuationSeparator/>
      </w:r>
    </w:p>
  </w:endnote>
  <w:endnote w:type="continuationNotice" w:id="1">
    <w:p w14:paraId="5AB39E25" w14:textId="77777777" w:rsidR="009E5A0C" w:rsidRDefault="009E5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C6BC" w14:textId="77777777" w:rsidR="009E5A0C" w:rsidRDefault="009E5A0C" w:rsidP="0061428E">
      <w:pPr>
        <w:spacing w:after="0" w:line="240" w:lineRule="auto"/>
      </w:pPr>
      <w:r>
        <w:separator/>
      </w:r>
    </w:p>
  </w:footnote>
  <w:footnote w:type="continuationSeparator" w:id="0">
    <w:p w14:paraId="01D983A7" w14:textId="77777777" w:rsidR="009E5A0C" w:rsidRDefault="009E5A0C" w:rsidP="0061428E">
      <w:pPr>
        <w:spacing w:after="0" w:line="240" w:lineRule="auto"/>
      </w:pPr>
      <w:r>
        <w:continuationSeparator/>
      </w:r>
    </w:p>
  </w:footnote>
  <w:footnote w:type="continuationNotice" w:id="1">
    <w:p w14:paraId="55F3605C" w14:textId="77777777" w:rsidR="009E5A0C" w:rsidRDefault="009E5A0C">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66E4F"/>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B37"/>
    <w:rsid w:val="009F67C9"/>
    <w:rsid w:val="009F7E72"/>
    <w:rsid w:val="00A01C84"/>
    <w:rsid w:val="00A04EF4"/>
    <w:rsid w:val="00A052D2"/>
    <w:rsid w:val="00A163F2"/>
    <w:rsid w:val="00A17AB3"/>
    <w:rsid w:val="00A22962"/>
    <w:rsid w:val="00A31AFA"/>
    <w:rsid w:val="00A37F1C"/>
    <w:rsid w:val="00A41D4A"/>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1D8E"/>
    <w:rsid w:val="00C23873"/>
    <w:rsid w:val="00C25317"/>
    <w:rsid w:val="00C46CE4"/>
    <w:rsid w:val="00C61E12"/>
    <w:rsid w:val="00C715C6"/>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1497"/>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E44E9"/>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2020-06-15T20:18:00Z</cp:lastPrinted>
  <dcterms:created xsi:type="dcterms:W3CDTF">2022-02-24T02:19:00Z</dcterms:created>
  <dcterms:modified xsi:type="dcterms:W3CDTF">2022-03-03T08:34:00Z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